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véhicule gratuit</w:t>
      </w:r>
    </w:p>
    <w:p>
      <w:r>
        <w:rPr>
          <w:b/>
          <w:i w:val="0"/>
          <w:color w:val="0B2D57"/>
        </w:rPr>
        <w:t>Version simple — France — fichier modifiable gratuit</w:t>
      </w:r>
    </w:p>
    <w:p>
      <w:r>
        <w:rPr>
          <w:b w:val="0"/>
          <w:i/>
        </w:rPr>
        <w:t>Utiliser pour formaliser la vente d’une voiture, moto ou utilitaire entre particuliers.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véhicule</w:t>
            </w:r>
          </w:p>
        </w:tc>
      </w:tr>
      <w:tr>
        <w:tc>
          <w:tcPr>
            <w:tcW w:type="dxa" w:w="5112"/>
            <w:vAlign w:val="center"/>
            <w:shd w:fill="EEF4FF"/>
          </w:tcPr>
          <w:p>
            <w:r>
              <w:t>Utilisation prévue</w:t>
            </w:r>
          </w:p>
        </w:tc>
        <w:tc>
          <w:tcPr>
            <w:tcW w:type="dxa" w:w="5112"/>
            <w:vAlign w:val="center"/>
          </w:tcPr>
          <w:p>
            <w:r>
              <w:t>Utiliser pour formaliser la vente d’une voiture, moto ou utilitaire entre particuliers.</w:t>
            </w:r>
          </w:p>
        </w:tc>
      </w:tr>
      <w:tr>
        <w:tc>
          <w:tcPr>
            <w:tcW w:type="dxa" w:w="5112"/>
            <w:vAlign w:val="center"/>
            <w:shd w:fill="EEF4FF"/>
          </w:tcPr>
          <w:p>
            <w:r>
              <w:t>À éviter</w:t>
            </w:r>
          </w:p>
        </w:tc>
        <w:tc>
          <w:tcPr>
            <w:tcW w:type="dxa" w:w="5112"/>
            <w:vAlign w:val="center"/>
          </w:tcPr>
          <w:p>
            <w:r>
              <w:t>Ne remplace pas les formalités administratives obligatoires de cession.</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véhicule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document : ne pas laisser vide ; indiquer “sans objet” si le point ne concerne pas le dossier.</w:t>
      </w:r>
    </w:p>
    <w:p>
      <w:pPr>
        <w:pStyle w:val="ListBullet"/>
      </w:pPr>
      <w:r>
        <w:t>Durée ou date d’effet : ne pas laisser vide ; indiquer “sans objet” si le point ne concerne pas le dossier.</w:t>
      </w:r>
    </w:p>
    <w:p>
      <w:pPr>
        <w:pStyle w:val="ListBullet"/>
      </w:pPr>
      <w:r>
        <w:t>Prix, montant ou contrepartie : ne pas laisser vide ; indiquer “sans objet” si le point ne concerne pas le dossier.</w:t>
      </w:r>
    </w:p>
    <w:p>
      <w:pPr>
        <w:pStyle w:val="ListBullet"/>
      </w:pPr>
      <w:r>
        <w:t>Modalités d’exécution : ne pas laisser vide ; indiquer “sans objet” si le point ne concerne pas le dossier.</w:t>
      </w:r>
    </w:p>
    <w:p>
      <w:pPr>
        <w:pStyle w:val="ListBullet"/>
      </w:pPr>
      <w:r>
        <w:t>Responsabilités principales : ne pas laisser vide ; indiquer “sans objet” si le point ne concerne pas le dossier.</w:t>
      </w:r>
    </w:p>
    <w:p>
      <w:pPr>
        <w:pStyle w:val="ListBullet"/>
      </w:pPr>
      <w:r>
        <w:t>Conditions de modification : ne pas laisser vide ; indiquer “sans objet” si le point ne concerne pas le dossier.</w:t>
      </w:r>
    </w:p>
    <w:p>
      <w:pPr>
        <w:pStyle w:val="ListBullet"/>
      </w:pPr>
      <w:r>
        <w:t>Résiliation ou fin du document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véhicule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