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statuts d’association gratuit</w:t>
      </w:r>
    </w:p>
    <w:p>
      <w:r>
        <w:rPr>
          <w:b/>
          <w:i w:val="0"/>
          <w:color w:val="0B2D57"/>
        </w:rPr>
        <w:t>Version simple — France — fichier modifiable gratuit</w:t>
      </w:r>
    </w:p>
    <w:p>
      <w:r>
        <w:rPr>
          <w:b w:val="0"/>
          <w:i/>
        </w:rPr>
        <w:t>Utiliser pour définir l’objet, les membres, les organes et les règles de fonctionnement d’une association.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Statuts d’association</w:t>
            </w:r>
          </w:p>
        </w:tc>
      </w:tr>
      <w:tr>
        <w:tc>
          <w:tcPr>
            <w:tcW w:type="dxa" w:w="5112"/>
            <w:vAlign w:val="center"/>
            <w:shd w:fill="EEF4FF"/>
          </w:tcPr>
          <w:p>
            <w:r>
              <w:t>Utilisation prévue</w:t>
            </w:r>
          </w:p>
        </w:tc>
        <w:tc>
          <w:tcPr>
            <w:tcW w:type="dxa" w:w="5112"/>
            <w:vAlign w:val="center"/>
          </w:tcPr>
          <w:p>
            <w:r>
              <w:t>Utiliser pour définir l’objet, les membres, les organes et les règles de fonctionnement d’une association.</w:t>
            </w:r>
          </w:p>
        </w:tc>
      </w:tr>
      <w:tr>
        <w:tc>
          <w:tcPr>
            <w:tcW w:type="dxa" w:w="5112"/>
            <w:vAlign w:val="center"/>
            <w:shd w:fill="EEF4FF"/>
          </w:tcPr>
          <w:p>
            <w:r>
              <w:t>À éviter</w:t>
            </w:r>
          </w:p>
        </w:tc>
        <w:tc>
          <w:tcPr>
            <w:tcW w:type="dxa" w:w="5112"/>
            <w:vAlign w:val="center"/>
          </w:tcPr>
          <w:p>
            <w:r>
              <w:t>À éviter si l’objet ou la gouvernance sont flous.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Statuts d’association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statuts d’association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