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règlement intérieur d’association gratuit</w:t>
      </w:r>
    </w:p>
    <w:p>
      <w:r>
        <w:rPr>
          <w:b/>
          <w:i w:val="0"/>
          <w:color w:val="0B2D57"/>
        </w:rPr>
        <w:t>Version simple — France — fichier modifiable gratuit</w:t>
      </w:r>
    </w:p>
    <w:p>
      <w:r>
        <w:rPr>
          <w:b w:val="0"/>
          <w:i/>
        </w:rPr>
        <w:t>Compléter les statuts par des règles pratiques de fonctionnement interne.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Règlement intérieur d’association</w:t>
            </w:r>
          </w:p>
        </w:tc>
      </w:tr>
      <w:tr>
        <w:tc>
          <w:tcPr>
            <w:tcW w:type="dxa" w:w="5112"/>
            <w:vAlign w:val="center"/>
            <w:shd w:fill="EEF4FF"/>
          </w:tcPr>
          <w:p>
            <w:r>
              <w:t>Utilisation prévue</w:t>
            </w:r>
          </w:p>
        </w:tc>
        <w:tc>
          <w:tcPr>
            <w:tcW w:type="dxa" w:w="5112"/>
            <w:vAlign w:val="center"/>
          </w:tcPr>
          <w:p>
            <w:r>
              <w:t>À utiliser pour organiser adhésion, cotisations, réunions, discipline, commissions et usage des moyens communs.</w:t>
            </w:r>
          </w:p>
        </w:tc>
      </w:tr>
      <w:tr>
        <w:tc>
          <w:tcPr>
            <w:tcW w:type="dxa" w:w="5112"/>
            <w:vAlign w:val="center"/>
            <w:shd w:fill="EEF4FF"/>
          </w:tcPr>
          <w:p>
            <w:r>
              <w:t>À éviter</w:t>
            </w:r>
          </w:p>
        </w:tc>
        <w:tc>
          <w:tcPr>
            <w:tcW w:type="dxa" w:w="5112"/>
            <w:vAlign w:val="center"/>
          </w:tcPr>
          <w:p>
            <w:r>
              <w:t>À éviter s’il contredit les statuts ou modifie des règles qui devraient être votées selon une procédure formelle.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Règlement intérieur d’association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Règlement intérieur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Litiges : préciser le contenu exact, les limites, les preuves et les conséquences pratiques.</w:t>
      </w:r>
    </w:p>
    <w:p>
      <w:pPr>
        <w:pStyle w:val="ListBullet"/>
      </w:pPr>
      <w:r>
        <w:t>Durée : préciser le contenu exact, les limites, les preuves et les conséquences pratiques.</w:t>
      </w:r>
    </w:p>
    <w:p>
      <w:pPr>
        <w:pStyle w:val="ListBullet"/>
      </w:pPr>
      <w:r>
        <w:t>Association : ne pas laisser vide ; indiquer “sans objet” si le point ne concerne pas le dossier.</w:t>
      </w:r>
    </w:p>
    <w:p>
      <w:pPr>
        <w:pStyle w:val="ListBullet"/>
      </w:pPr>
      <w:r>
        <w:t>Objet : ne pas laisser vide ; indiquer “sans objet” si le point ne concerne pas le dossier.</w:t>
      </w:r>
    </w:p>
    <w:p>
      <w:pPr>
        <w:pStyle w:val="ListBullet"/>
      </w:pPr>
      <w:r>
        <w:t>Adhésion : ne pas laisser vide ; indiquer “sans objet” si le point ne concerne pas le dossier.</w:t>
      </w:r>
    </w:p>
    <w:p>
      <w:pPr>
        <w:pStyle w:val="ListBullet"/>
      </w:pPr>
      <w:r>
        <w:t>Cotisation : ne pas laisser vide ; indiquer “sans objet” si le point ne concerne pas le dossier.</w:t>
      </w:r>
    </w:p>
    <w:p>
      <w:pPr>
        <w:pStyle w:val="ListBullet"/>
      </w:pPr>
      <w:r>
        <w:t>Réunions : ne pas laisser vide ; indiquer “sans objet” si le point ne concerne pas le dossier.</w:t>
      </w:r>
    </w:p>
    <w:p>
      <w:pPr>
        <w:pStyle w:val="ListBullet"/>
      </w:pPr>
      <w:r>
        <w:t>Discipline : ne pas laisser vide ; indiquer “sans objet” si le point ne concerne pas le dossier.</w:t>
      </w:r>
    </w:p>
    <w:p>
      <w:pPr>
        <w:pStyle w:val="ListBullet"/>
      </w:pPr>
      <w:r>
        <w:t>Commissions : ne pas laisser vide ; indiquer “sans objet” si le point ne concerne pas le dossier.</w:t>
      </w:r>
    </w:p>
    <w:p>
      <w:pPr>
        <w:pStyle w:val="ListBullet"/>
      </w:pPr>
      <w:r>
        <w:t>Modification : ne pas laisser vide ; indiquer “sans objet” si le point ne concerne pas le dossier.</w:t>
      </w:r>
    </w:p>
    <w:p>
      <w:pPr>
        <w:pStyle w:val="ListBullet"/>
      </w:pPr>
      <w:r>
        <w:t>Date d’adoption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règlement intérieur d’association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