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reconnaissance de dette familiale gratuit</w:t>
      </w:r>
    </w:p>
    <w:p>
      <w:r>
        <w:rPr>
          <w:b/>
          <w:i w:val="0"/>
          <w:color w:val="0B2D57"/>
        </w:rPr>
        <w:t>Version simple — France — fichier modifiable gratuit</w:t>
      </w:r>
    </w:p>
    <w:p>
      <w:r>
        <w:rPr>
          <w:b w:val="0"/>
          <w:i/>
        </w:rPr>
        <w:t>Utiliser pour formaliser un prêt ou une dette entre proches.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Reconnaissance de dette familiale</w:t>
            </w:r>
          </w:p>
        </w:tc>
      </w:tr>
      <w:tr>
        <w:tc>
          <w:tcPr>
            <w:tcW w:type="dxa" w:w="5112"/>
            <w:vAlign w:val="center"/>
            <w:shd w:fill="EEF4FF"/>
          </w:tcPr>
          <w:p>
            <w:r>
              <w:t>Utilisation prévue</w:t>
            </w:r>
          </w:p>
        </w:tc>
        <w:tc>
          <w:tcPr>
            <w:tcW w:type="dxa" w:w="5112"/>
            <w:vAlign w:val="center"/>
          </w:tcPr>
          <w:p>
            <w:r>
              <w:t>Utiliser pour formaliser un prêt ou une dette entre proches.</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Reconnaissance de dette familiale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reconnaissance de dette familiale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