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procès-verbal d’assemblée générale gratuit</w:t>
      </w:r>
    </w:p>
    <w:p>
      <w:r>
        <w:rPr>
          <w:b/>
          <w:i w:val="0"/>
          <w:color w:val="0B2D57"/>
        </w:rPr>
        <w:t>Version simple — France — fichier modifiable gratuit</w:t>
      </w:r>
    </w:p>
    <w:p>
      <w:r>
        <w:rPr>
          <w:b w:val="0"/>
          <w:i/>
        </w:rPr>
        <w:t>Utiliser pour consigner les décisions prises en assemblée générale.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Procès-verbal d’assemblée générale</w:t>
            </w:r>
          </w:p>
        </w:tc>
      </w:tr>
      <w:tr>
        <w:tc>
          <w:tcPr>
            <w:tcW w:type="dxa" w:w="5112"/>
            <w:vAlign w:val="center"/>
            <w:shd w:fill="EEF4FF"/>
          </w:tcPr>
          <w:p>
            <w:r>
              <w:t>Utilisation prévue</w:t>
            </w:r>
          </w:p>
        </w:tc>
        <w:tc>
          <w:tcPr>
            <w:tcW w:type="dxa" w:w="5112"/>
            <w:vAlign w:val="center"/>
          </w:tcPr>
          <w:p>
            <w:r>
              <w:t>Utiliser pour consigner les décisions prises en assemblée générale.</w:t>
            </w:r>
          </w:p>
        </w:tc>
      </w:tr>
      <w:tr>
        <w:tc>
          <w:tcPr>
            <w:tcW w:type="dxa" w:w="5112"/>
            <w:vAlign w:val="center"/>
            <w:shd w:fill="EEF4FF"/>
          </w:tcPr>
          <w:p>
            <w:r>
              <w:t>À éviter</w:t>
            </w:r>
          </w:p>
        </w:tc>
        <w:tc>
          <w:tcPr>
            <w:tcW w:type="dxa" w:w="5112"/>
            <w:vAlign w:val="center"/>
          </w:tcPr>
          <w:p>
            <w:r>
              <w:t>À éviter si les votes, résolutions et présences ne sont pas clairement indiqués.</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Procès-verbal d’assemblée générale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procès-verbal d’assemblée générale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