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prêt entre particuliers gratuit</w:t>
      </w:r>
    </w:p>
    <w:p>
      <w:r>
        <w:rPr>
          <w:b/>
          <w:i w:val="0"/>
          <w:color w:val="0B2D57"/>
        </w:rPr>
        <w:t>Version simple — France — fichier modifiable gratuit</w:t>
      </w:r>
    </w:p>
    <w:p>
      <w:r>
        <w:rPr>
          <w:b w:val="0"/>
          <w:i/>
        </w:rPr>
        <w:t>Utiliser pour organiser un prêt privé avec montant, échéancier et éventuels intérêts.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Prêt entre particuliers</w:t>
            </w:r>
          </w:p>
        </w:tc>
      </w:tr>
      <w:tr>
        <w:tc>
          <w:tcPr>
            <w:tcW w:type="dxa" w:w="5112"/>
            <w:vAlign w:val="center"/>
            <w:shd w:fill="EEF4FF"/>
          </w:tcPr>
          <w:p>
            <w:r>
              <w:t>Utilisation prévue</w:t>
            </w:r>
          </w:p>
        </w:tc>
        <w:tc>
          <w:tcPr>
            <w:tcW w:type="dxa" w:w="5112"/>
            <w:vAlign w:val="center"/>
          </w:tcPr>
          <w:p>
            <w:r>
              <w:t>Utiliser pour organiser un prêt privé avec montant, échéancier et éventuels intérêts.</w:t>
            </w:r>
          </w:p>
        </w:tc>
      </w:tr>
      <w:tr>
        <w:tc>
          <w:tcPr>
            <w:tcW w:type="dxa" w:w="5112"/>
            <w:vAlign w:val="center"/>
            <w:shd w:fill="EEF4FF"/>
          </w:tcPr>
          <w:p>
            <w:r>
              <w:t>À éviter</w:t>
            </w:r>
          </w:p>
        </w:tc>
        <w:tc>
          <w:tcPr>
            <w:tcW w:type="dxa" w:w="5112"/>
            <w:vAlign w:val="center"/>
          </w:tcPr>
          <w:p>
            <w:r>
              <w:t>À éviter si les conséquences fiscales ou familiales ne sont pas anticipées.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Prêt entre particuliers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Créancier et débiteur : ne pas laisser vide ; indiquer “sans objet” si le point ne concerne pas le dossier.</w:t>
      </w:r>
    </w:p>
    <w:p>
      <w:pPr>
        <w:pStyle w:val="ListBullet"/>
      </w:pPr>
      <w:r>
        <w:t>Montant exact : ne pas laisser vide ; indiquer “sans objet” si le point ne concerne pas le dossier.</w:t>
      </w:r>
    </w:p>
    <w:p>
      <w:pPr>
        <w:pStyle w:val="ListBullet"/>
      </w:pPr>
      <w:r>
        <w:t>Date de remise des fonds : ne pas laisser vide ; indiquer “sans objet” si le point ne concerne pas le dossier.</w:t>
      </w:r>
    </w:p>
    <w:p>
      <w:pPr>
        <w:pStyle w:val="ListBullet"/>
      </w:pPr>
      <w:r>
        <w:t>Échéancier : ne pas laisser vide ; indiquer “sans objet” si le point ne concerne pas le dossier.</w:t>
      </w:r>
    </w:p>
    <w:p>
      <w:pPr>
        <w:pStyle w:val="ListBullet"/>
      </w:pPr>
      <w:r>
        <w:t>Taux ou absence d’intérêts : ne pas laisser vide ; indiquer “sans objet” si le point ne concerne pas le dossier.</w:t>
      </w:r>
    </w:p>
    <w:p>
      <w:pPr>
        <w:pStyle w:val="ListBullet"/>
      </w:pPr>
      <w:r>
        <w:t>Mode de paiement : ne pas laisser vide ; indiquer “sans objet” si le point ne concerne pas le dossier.</w:t>
      </w:r>
    </w:p>
    <w:p>
      <w:pPr>
        <w:pStyle w:val="ListBullet"/>
      </w:pPr>
      <w:r>
        <w:t>Retard de paiement : ne pas laisser vide ; indiquer “sans objet” si le point ne concerne pas le dossier.</w:t>
      </w:r>
    </w:p>
    <w:p>
      <w:pPr>
        <w:pStyle w:val="ListBullet"/>
      </w:pPr>
      <w:r>
        <w:t>Preuves annexées : ne pas laisser vide ; indiquer “sans objet” si le point ne concerne pas le dossier.</w:t>
      </w:r>
    </w:p>
    <w:p>
      <w:pPr>
        <w:pStyle w:val="ListBullet"/>
      </w:pPr>
      <w:r>
        <w:t>Signature manuscrite ou électronique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prêt entre particuliers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