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partenariat gratuit</w:t>
      </w:r>
    </w:p>
    <w:p>
      <w:r>
        <w:rPr>
          <w:b/>
          <w:i w:val="0"/>
          <w:color w:val="0B2D57"/>
        </w:rPr>
        <w:t>Version simple — France — fichier modifiable gratuit</w:t>
      </w:r>
    </w:p>
    <w:p>
      <w:r>
        <w:rPr>
          <w:b w:val="0"/>
          <w:i/>
        </w:rPr>
        <w:t>Utiliser pour organiser une coopération, les apports, la durée, la communication et la sortie.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partenariat</w:t>
            </w:r>
          </w:p>
        </w:tc>
      </w:tr>
      <w:tr>
        <w:tc>
          <w:tcPr>
            <w:tcW w:type="dxa" w:w="5112"/>
            <w:vAlign w:val="center"/>
            <w:shd w:fill="EEF4FF"/>
          </w:tcPr>
          <w:p>
            <w:r>
              <w:t>Utilisation prévue</w:t>
            </w:r>
          </w:p>
        </w:tc>
        <w:tc>
          <w:tcPr>
            <w:tcW w:type="dxa" w:w="5112"/>
            <w:vAlign w:val="center"/>
          </w:tcPr>
          <w:p>
            <w:r>
              <w:t>Utiliser pour organiser une coopération, les apports, la durée, la communication et la sortie.</w:t>
            </w:r>
          </w:p>
        </w:tc>
      </w:tr>
      <w:tr>
        <w:tc>
          <w:tcPr>
            <w:tcW w:type="dxa" w:w="5112"/>
            <w:vAlign w:val="center"/>
            <w:shd w:fill="EEF4FF"/>
          </w:tcPr>
          <w:p>
            <w:r>
              <w:t>À éviter</w:t>
            </w:r>
          </w:p>
        </w:tc>
        <w:tc>
          <w:tcPr>
            <w:tcW w:type="dxa" w:w="5112"/>
            <w:vAlign w:val="center"/>
          </w:tcPr>
          <w:p>
            <w:r>
              <w:t>À éviter si les apports et bénéfices de chacun sont flous.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partenariat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partenariat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