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mise à disposition de salle gratuit</w:t>
      </w:r>
    </w:p>
    <w:p>
      <w:r>
        <w:rPr>
          <w:b/>
          <w:i w:val="0"/>
          <w:color w:val="0B2D57"/>
        </w:rPr>
        <w:t>Version simple — France — fichier modifiable gratuit</w:t>
      </w:r>
    </w:p>
    <w:p>
      <w:r>
        <w:rPr>
          <w:b w:val="0"/>
          <w:i/>
        </w:rPr>
        <w:t>Encadrer l’usage temporaire d’une salle ou d’un local.</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mise à disposition de salle</w:t>
            </w:r>
          </w:p>
        </w:tc>
      </w:tr>
      <w:tr>
        <w:tc>
          <w:tcPr>
            <w:tcW w:type="dxa" w:w="5112"/>
            <w:vAlign w:val="center"/>
            <w:shd w:fill="EEF4FF"/>
          </w:tcPr>
          <w:p>
            <w:r>
              <w:t>Utilisation prévue</w:t>
            </w:r>
          </w:p>
        </w:tc>
        <w:tc>
          <w:tcPr>
            <w:tcW w:type="dxa" w:w="5112"/>
            <w:vAlign w:val="center"/>
          </w:tcPr>
          <w:p>
            <w:r>
              <w:t>À utiliser pour préciser lieu, dates, horaires, usage, assurance, remise en état, clés et responsabilité.</w:t>
            </w:r>
          </w:p>
        </w:tc>
      </w:tr>
      <w:tr>
        <w:tc>
          <w:tcPr>
            <w:tcW w:type="dxa" w:w="5112"/>
            <w:vAlign w:val="center"/>
            <w:shd w:fill="EEF4FF"/>
          </w:tcPr>
          <w:p>
            <w:r>
              <w:t>À éviter</w:t>
            </w:r>
          </w:p>
        </w:tc>
        <w:tc>
          <w:tcPr>
            <w:tcW w:type="dxa" w:w="5112"/>
            <w:vAlign w:val="center"/>
          </w:tcPr>
          <w:p>
            <w:r>
              <w:t>À éviter si l’occupation est régulière, exclusive ou assimilable à un bail.</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mise à disposition de salle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Responsabilité : préciser le contenu exact, les limites, les preuves et les conséquences pratiques.</w:t>
      </w:r>
    </w:p>
    <w:p>
      <w:pPr>
        <w:pStyle w:val="ListBullet"/>
      </w:pPr>
      <w:r>
        <w:t>Assurance : préciser le contenu exact, les limites, les preuves et les conséquences pratiques.</w:t>
      </w:r>
    </w:p>
    <w:p>
      <w:pPr>
        <w:pStyle w:val="ListBullet"/>
      </w:pPr>
      <w:r>
        <w:t>Durée : préciser le contenu exact, les limites, les preuves et les conséquences pratiques.</w:t>
      </w:r>
    </w:p>
    <w:p>
      <w:pPr>
        <w:pStyle w:val="ListBullet"/>
      </w:pPr>
      <w:r>
        <w:t>Restitution : préciser le contenu exact, les limites, les preuves et les conséquences pratiques.</w:t>
      </w:r>
    </w:p>
    <w:p>
      <w:pPr>
        <w:pStyle w:val="ListBullet"/>
      </w:pPr>
      <w:r>
        <w:t>Mettant à disposition : ne pas laisser vide ; indiquer “sans objet” si le point ne concerne pas le dossier.</w:t>
      </w:r>
    </w:p>
    <w:p>
      <w:pPr>
        <w:pStyle w:val="ListBullet"/>
      </w:pPr>
      <w:r>
        <w:t>Bénéficiaire : ne pas laisser vide ; indiquer “sans objet” si le point ne concerne pas le dossier.</w:t>
      </w:r>
    </w:p>
    <w:p>
      <w:pPr>
        <w:pStyle w:val="ListBullet"/>
      </w:pPr>
      <w:r>
        <w:t>Local : ne pas laisser vide ; indiquer “sans objet” si le point ne concerne pas le dossier.</w:t>
      </w:r>
    </w:p>
    <w:p>
      <w:pPr>
        <w:pStyle w:val="ListBullet"/>
      </w:pPr>
      <w:r>
        <w:t>Dates : ne pas laisser vide ; indiquer “sans objet” si le point ne concerne pas le dossier.</w:t>
      </w:r>
    </w:p>
    <w:p>
      <w:pPr>
        <w:pStyle w:val="ListBullet"/>
      </w:pPr>
      <w:r>
        <w:t>Usage autorisé : ne pas laisser vide ; indiquer “sans objet” si le point ne concerne pas le dossier.</w:t>
      </w:r>
    </w:p>
    <w:p>
      <w:pPr>
        <w:pStyle w:val="ListBullet"/>
      </w:pPr>
      <w:r>
        <w:t>Assurance : ne pas laisser vide ; indiquer “sans objet” si le point ne concerne pas le dossier.</w:t>
      </w:r>
    </w:p>
    <w:p>
      <w:pPr>
        <w:pStyle w:val="ListBullet"/>
      </w:pPr>
      <w:r>
        <w:t>État des lieux : ne pas laisser vide ; indiquer “sans objet” si le point ne concerne pas le dossier.</w:t>
      </w:r>
    </w:p>
    <w:p>
      <w:pPr>
        <w:pStyle w:val="ListBullet"/>
      </w:pPr>
      <w:r>
        <w:t>Clés : ne pas laisser vide ; indiquer “sans objet” si le point ne concerne pas le dossier.</w:t>
      </w:r>
    </w:p>
    <w:p>
      <w:pPr>
        <w:pStyle w:val="ListBullet"/>
      </w:pPr>
      <w:r>
        <w:t>Restitution : ne pas laisser vide ; indiquer “sans objet” si le point ne concerne pas le dossier.</w:t>
      </w:r>
    </w:p>
    <w:p>
      <w:pPr>
        <w:pStyle w:val="ListBullet"/>
      </w:pPr>
      <w:r>
        <w:t>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mise à disposition de salle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