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maintenance gratuit</w:t>
      </w:r>
    </w:p>
    <w:p>
      <w:r>
        <w:rPr>
          <w:b/>
          <w:i w:val="0"/>
          <w:color w:val="0B2D57"/>
        </w:rPr>
        <w:t>Version simple — France — fichier modifiable gratuit</w:t>
      </w:r>
    </w:p>
    <w:p>
      <w:r>
        <w:rPr>
          <w:b w:val="0"/>
          <w:i/>
        </w:rPr>
        <w:t>Utiliser pour définir les interventions, délais, exclusions, astreintes et niveaux de service.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maintenance</w:t>
            </w:r>
          </w:p>
        </w:tc>
      </w:tr>
      <w:tr>
        <w:tc>
          <w:tcPr>
            <w:tcW w:type="dxa" w:w="5112"/>
            <w:vAlign w:val="center"/>
            <w:shd w:fill="EEF4FF"/>
          </w:tcPr>
          <w:p>
            <w:r>
              <w:t>Utilisation prévue</w:t>
            </w:r>
          </w:p>
        </w:tc>
        <w:tc>
          <w:tcPr>
            <w:tcW w:type="dxa" w:w="5112"/>
            <w:vAlign w:val="center"/>
          </w:tcPr>
          <w:p>
            <w:r>
              <w:t>Utiliser pour définir les interventions, délais, exclusions, astreintes et niveaux de service.</w:t>
            </w:r>
          </w:p>
        </w:tc>
      </w:tr>
      <w:tr>
        <w:tc>
          <w:tcPr>
            <w:tcW w:type="dxa" w:w="5112"/>
            <w:vAlign w:val="center"/>
            <w:shd w:fill="EEF4FF"/>
          </w:tcPr>
          <w:p>
            <w:r>
              <w:t>À éviter</w:t>
            </w:r>
          </w:p>
        </w:tc>
        <w:tc>
          <w:tcPr>
            <w:tcW w:type="dxa" w:w="5112"/>
            <w:vAlign w:val="center"/>
          </w:tcPr>
          <w:p>
            <w:r>
              <w:t>À éviter si les incidents couverts et non couverts ne sont pas listés.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maintenance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maintenance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