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maintenance informatique gratuit</w:t>
      </w:r>
    </w:p>
    <w:p>
      <w:r>
        <w:rPr>
          <w:b/>
          <w:i w:val="0"/>
          <w:color w:val="0B2D57"/>
        </w:rPr>
        <w:t>Version simple — France — fichier modifiable gratuit</w:t>
      </w:r>
    </w:p>
    <w:p>
      <w:r>
        <w:rPr>
          <w:b w:val="0"/>
          <w:i/>
        </w:rPr>
        <w:t>Utiliser pour définir support, délais d’intervention, exclusions et niveaux de service.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maintenance informatique</w:t>
            </w:r>
          </w:p>
        </w:tc>
      </w:tr>
      <w:tr>
        <w:tc>
          <w:tcPr>
            <w:tcW w:type="dxa" w:w="5112"/>
            <w:vAlign w:val="center"/>
            <w:shd w:fill="EEF4FF"/>
          </w:tcPr>
          <w:p>
            <w:r>
              <w:t>Utilisation prévue</w:t>
            </w:r>
          </w:p>
        </w:tc>
        <w:tc>
          <w:tcPr>
            <w:tcW w:type="dxa" w:w="5112"/>
            <w:vAlign w:val="center"/>
          </w:tcPr>
          <w:p>
            <w:r>
              <w:t>Utiliser pour définir support, délais d’intervention, exclusions et niveaux de service.</w:t>
            </w:r>
          </w:p>
        </w:tc>
      </w:tr>
      <w:tr>
        <w:tc>
          <w:tcPr>
            <w:tcW w:type="dxa" w:w="5112"/>
            <w:vAlign w:val="center"/>
            <w:shd w:fill="EEF4FF"/>
          </w:tcPr>
          <w:p>
            <w:r>
              <w:t>À éviter</w:t>
            </w:r>
          </w:p>
        </w:tc>
        <w:tc>
          <w:tcPr>
            <w:tcW w:type="dxa" w:w="5112"/>
            <w:vAlign w:val="center"/>
          </w:tcPr>
          <w:p>
            <w:r>
              <w:t>Ne pas utiliser pour une opération complexe, réglementée, internationale ou portant sur un montant important sans relecture professionnelle.</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de maintenance informatique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Prix : préciser le contenu exact, les limites, les preuves et les conséquences pratiques.</w:t>
      </w:r>
    </w:p>
    <w:p>
      <w:pPr>
        <w:pStyle w:val="ListBullet"/>
      </w:pPr>
      <w:r>
        <w:t>Paiement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Confidentialité : préciser le contenu exact, les limites, les preuves et les conséquences pratiques.</w:t>
      </w:r>
    </w:p>
    <w:p>
      <w:pPr>
        <w:pStyle w:val="ListBullet"/>
      </w:pPr>
      <w:r>
        <w:t>Propriété intellectuelle : préciser le contenu exact, les limites, les preuves et les conséquences pratiques.</w:t>
      </w:r>
    </w:p>
    <w:p>
      <w:pPr>
        <w:pStyle w:val="ListBullet"/>
      </w:pPr>
      <w:r>
        <w:t>Résiliation : préciser le contenu exact, les limites, les preuves et les conséquences pratiques.</w:t>
      </w:r>
    </w:p>
    <w:p>
      <w:pPr>
        <w:pStyle w:val="ListBullet"/>
      </w:pPr>
      <w:r>
        <w:t>Litiges : préciser le contenu exact, les limites, les preuves et les conséquences pratiques.</w:t>
      </w:r>
    </w:p>
    <w:p>
      <w:pPr>
        <w:pStyle w:val="ListBullet"/>
      </w:pPr>
      <w:r>
        <w:t>Identité complète des parties : ne pas laisser vide ; indiquer “sans objet” si le point ne concerne pas le dossier.</w:t>
      </w:r>
    </w:p>
    <w:p>
      <w:pPr>
        <w:pStyle w:val="ListBullet"/>
      </w:pPr>
      <w:r>
        <w:t>Objet du contrat et périmètre précis : ne pas laisser vide ; indiquer “sans objet” si le point ne concerne pas le dossier.</w:t>
      </w:r>
    </w:p>
    <w:p>
      <w:pPr>
        <w:pStyle w:val="ListBullet"/>
      </w:pPr>
      <w:r>
        <w:t>Livrables, délais et critères d’acceptation : ne pas laisser vide ; indiquer “sans objet” si le point ne concerne pas le dossier.</w:t>
      </w:r>
    </w:p>
    <w:p>
      <w:pPr>
        <w:pStyle w:val="ListBullet"/>
      </w:pPr>
      <w:r>
        <w:t>Prix, facturation et paiement : ne pas laisser vide ; indiquer “sans objet” si le point ne concerne pas le dossier.</w:t>
      </w:r>
    </w:p>
    <w:p>
      <w:pPr>
        <w:pStyle w:val="ListBullet"/>
      </w:pPr>
      <w:r>
        <w:t>Obligations de coopération : ne pas laisser vide ; indiquer “sans objet” si le point ne concerne pas le dossier.</w:t>
      </w:r>
    </w:p>
    <w:p>
      <w:pPr>
        <w:pStyle w:val="ListBullet"/>
      </w:pPr>
      <w:r>
        <w:t>Responsabilité, assurance et garanties : ne pas laisser vide ; indiquer “sans objet” si le point ne concerne pas le dossier.</w:t>
      </w:r>
    </w:p>
    <w:p>
      <w:pPr>
        <w:pStyle w:val="ListBullet"/>
      </w:pPr>
      <w:r>
        <w:t>Confidentialité et propriété intellectuelle : ne pas laisser vide ; indiquer “sans objet” si le point ne concerne pas le dossier.</w:t>
      </w:r>
    </w:p>
    <w:p>
      <w:pPr>
        <w:pStyle w:val="ListBullet"/>
      </w:pPr>
      <w:r>
        <w:t>Durée, renouvellement et résiliation : ne pas laisser vide ; indiquer “sans objet” si le point ne concerne pas le dossier.</w:t>
      </w:r>
    </w:p>
    <w:p>
      <w:pPr>
        <w:pStyle w:val="ListBullet"/>
      </w:pPr>
      <w:r>
        <w:t>Droit applicable, litiges et signatures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maintenance informatique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