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location de matériel gratuit</w:t>
      </w:r>
    </w:p>
    <w:p>
      <w:r>
        <w:rPr>
          <w:b/>
          <w:i w:val="0"/>
          <w:color w:val="0B2D57"/>
        </w:rPr>
        <w:t>Version simple — France — fichier modifiable gratuit</w:t>
      </w:r>
    </w:p>
    <w:p>
      <w:r>
        <w:rPr>
          <w:b w:val="0"/>
          <w:i/>
        </w:rPr>
        <w:t>Encadrer la location temporaire d’un équipement ou matériel.</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Location de matériel</w:t>
            </w:r>
          </w:p>
        </w:tc>
      </w:tr>
      <w:tr>
        <w:tc>
          <w:tcPr>
            <w:tcW w:type="dxa" w:w="5112"/>
            <w:vAlign w:val="center"/>
            <w:shd w:fill="EEF4FF"/>
          </w:tcPr>
          <w:p>
            <w:r>
              <w:t>Utilisation prévue</w:t>
            </w:r>
          </w:p>
        </w:tc>
        <w:tc>
          <w:tcPr>
            <w:tcW w:type="dxa" w:w="5112"/>
            <w:vAlign w:val="center"/>
          </w:tcPr>
          <w:p>
            <w:r>
              <w:t>À utiliser pour fixer matériel, durée, prix, dépôt, état, assurance, restitution et pénalités éventuelles.</w:t>
            </w:r>
          </w:p>
        </w:tc>
      </w:tr>
      <w:tr>
        <w:tc>
          <w:tcPr>
            <w:tcW w:type="dxa" w:w="5112"/>
            <w:vAlign w:val="center"/>
            <w:shd w:fill="EEF4FF"/>
          </w:tcPr>
          <w:p>
            <w:r>
              <w:t>À éviter</w:t>
            </w:r>
          </w:p>
        </w:tc>
        <w:tc>
          <w:tcPr>
            <w:tcW w:type="dxa" w:w="5112"/>
            <w:vAlign w:val="center"/>
          </w:tcPr>
          <w:p>
            <w:r>
              <w:t>À éviter pour du matériel réglementé, dangereux ou dont l’usage exige une qualification spécifique.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d’abord que « Location de matériel » correspond au bon régime juridique et au bon usage du bien.</w:t>
      </w:r>
    </w:p>
    <w:p>
      <w:pPr>
        <w:pStyle w:val="ListBullet"/>
      </w:pPr>
      <w:r>
        <w:t>Décrire précisément le bien, les annexes, l’état des lieux, l’inventaire, les diagnostics, les clés et les documents remis.</w:t>
      </w:r>
    </w:p>
    <w:p>
      <w:pPr>
        <w:pStyle w:val="ListBullet"/>
      </w:pPr>
      <w:r>
        <w:t>Séparer clairement loyer ou prix, charges, dépôt de garantie, révision, régularisation, frais et justificatifs.</w:t>
      </w:r>
    </w:p>
    <w:p>
      <w:pPr>
        <w:pStyle w:val="ListBullet"/>
      </w:pPr>
      <w:r>
        <w:t>Prévoir la sortie : congé, préavis, restitution, état de sortie, retenues justifiées, preuves d’envoi et exemplaires signés.</w:t>
      </w:r>
    </w:p>
    <w:p>
      <w:pPr>
        <w:pStyle w:val="Heading1"/>
      </w:pPr>
      <w:r>
        <w:rPr>
          <w:b w:val="0"/>
          <w:i w:val="0"/>
        </w:rPr>
        <w:t>B. Pièges à éviter</w:t>
      </w:r>
    </w:p>
    <w:p>
      <w:pPr>
        <w:pStyle w:val="ListBullet"/>
      </w:pPr>
      <w:r>
        <w:t>Mauvais régime de bail ou de document : meublé, vide, mobilité, commercial, professionnel ou colocation confondus.</w:t>
      </w:r>
    </w:p>
    <w:p>
      <w:pPr>
        <w:pStyle w:val="ListBullet"/>
      </w:pPr>
      <w:r>
        <w:t>Adresse, description du bien, surface, destination, équipements ou annexes imprécis.</w:t>
      </w:r>
    </w:p>
    <w:p>
      <w:pPr>
        <w:pStyle w:val="ListBullet"/>
      </w:pPr>
      <w:r>
        <w:t>Montants mélangés : loyer, charges, dépôt, régularisation, indexation ou frais non séparés.</w:t>
      </w:r>
    </w:p>
    <w:p>
      <w:pPr>
        <w:pStyle w:val="ListBullet"/>
      </w:pPr>
      <w:r>
        <w:t>Absence d’état des lieux, inventaire, diagnostics, justificatifs ou preuve de remise.</w:t>
      </w:r>
    </w:p>
    <w:p>
      <w:pPr>
        <w:pStyle w:val="Heading1"/>
      </w:pPr>
      <w:r>
        <w:rPr>
          <w:b w:val="0"/>
          <w:i w:val="0"/>
        </w:rPr>
        <w:t>C. Clauses et informations à adapter</w:t>
      </w:r>
    </w:p>
    <w:p>
      <w:pPr>
        <w:pStyle w:val="ListBullet"/>
      </w:pPr>
      <w:r>
        <w:t>Paiement : préciser le contenu exact, les limites, les preuves et les conséquences pratiques.</w:t>
      </w:r>
    </w:p>
    <w:p>
      <w:pPr>
        <w:pStyle w:val="ListBullet"/>
      </w:pPr>
      <w:r>
        <w:t>Dépôt de garantie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Assurance : préciser le contenu exact, les limites, les preuves et les conséquences pratiques.</w:t>
      </w:r>
    </w:p>
    <w:p>
      <w:pPr>
        <w:pStyle w:val="ListBullet"/>
      </w:pPr>
      <w:r>
        <w:t>Pénalités de retard : préciser le contenu exact, les limites, les preuves et les conséquences pratiques.</w:t>
      </w:r>
    </w:p>
    <w:p>
      <w:pPr>
        <w:pStyle w:val="ListBullet"/>
      </w:pPr>
      <w:r>
        <w:t>Loueur : ne pas laisser vide ; indiquer “sans objet” si le point ne concerne pas le dossier.</w:t>
      </w:r>
    </w:p>
    <w:p>
      <w:pPr>
        <w:pStyle w:val="ListBullet"/>
      </w:pPr>
      <w:r>
        <w:t>Locataire : ne pas laisser vide ; indiquer “sans objet” si le point ne concerne pas le dossier.</w:t>
      </w:r>
    </w:p>
    <w:p>
      <w:pPr>
        <w:pStyle w:val="ListBullet"/>
      </w:pPr>
      <w:r>
        <w:t>Matériel : ne pas laisser vide ; indiquer “sans objet” si le point ne concerne pas le dossier.</w:t>
      </w:r>
    </w:p>
    <w:p>
      <w:pPr>
        <w:pStyle w:val="ListBullet"/>
      </w:pPr>
      <w:r>
        <w:t>État initial : ne pas laisser vide ; indiquer “sans objet” si le point ne concerne pas le dossier.</w:t>
      </w:r>
    </w:p>
    <w:p>
      <w:pPr>
        <w:pStyle w:val="ListBullet"/>
      </w:pPr>
      <w:r>
        <w:t>Durée : ne pas laisser vide ; indiquer “sans objet” si le point ne concerne pas le dossier.</w:t>
      </w:r>
    </w:p>
    <w:p>
      <w:pPr>
        <w:pStyle w:val="ListBullet"/>
      </w:pPr>
      <w:r>
        <w:t>Prix : ne pas laisser vide ; indiquer “sans objet” si le point ne concerne pas le dossier.</w:t>
      </w:r>
    </w:p>
    <w:p>
      <w:pPr>
        <w:pStyle w:val="ListBullet"/>
      </w:pPr>
      <w:r>
        <w:t>Dépôt de garantie : ne pas laisser vide ; indiquer “sans objet” si le point ne concerne pas le dossier.</w:t>
      </w:r>
    </w:p>
    <w:p>
      <w:pPr>
        <w:pStyle w:val="ListBullet"/>
      </w:pPr>
      <w:r>
        <w:t>Assurance : ne pas laisser vide ; indiquer “sans objet” si le point ne concerne pas le dossier.</w:t>
      </w:r>
    </w:p>
    <w:p>
      <w:pPr>
        <w:pStyle w:val="ListBullet"/>
      </w:pPr>
      <w:r>
        <w:t>Restitution : ne pas laisser vide ; indiquer “sans objet” si le point ne concerne pas le dossier.</w:t>
      </w:r>
    </w:p>
    <w:p>
      <w:pPr>
        <w:pStyle w:val="ListBullet"/>
      </w:pPr>
      <w:r>
        <w:t>Pénalités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Bien, service, livraison et garanties</w:t>
      </w:r>
    </w:p>
    <w:p>
      <w:r>
        <w:rPr>
          <w:b w:val="0"/>
          <w:i w:val="0"/>
        </w:rPr>
        <w:t>Décrire l’objet vendu ou le service demandé, son état, les accessoires, le prix, la livraison, le transfert, les défauts connus et les preuves remises.</w:t>
      </w:r>
    </w:p>
    <w:p>
      <w:r>
        <w:rPr>
          <w:b w:val="0"/>
          <w:i w:val="0"/>
        </w:rPr>
        <w:t>Vérifier les règles de rétractation, garantie, médiation, remboursement ou réclamation selon la situation.</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location de matériel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