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freelance gratuit</w:t>
      </w:r>
    </w:p>
    <w:p>
      <w:r>
        <w:rPr>
          <w:b/>
          <w:i w:val="0"/>
          <w:color w:val="0B2D57"/>
        </w:rPr>
        <w:t>Version simple — France — fichier modifiable gratuit</w:t>
      </w:r>
    </w:p>
    <w:p>
      <w:r>
        <w:rPr>
          <w:b w:val="0"/>
          <w:i/>
        </w:rPr>
        <w:t>Utiliser pour encadrer une mission indépendante avec livrables, planning et propriété intellectuelle.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freelance</w:t>
            </w:r>
          </w:p>
        </w:tc>
      </w:tr>
      <w:tr>
        <w:tc>
          <w:tcPr>
            <w:tcW w:type="dxa" w:w="5112"/>
            <w:vAlign w:val="center"/>
            <w:shd w:fill="EEF4FF"/>
          </w:tcPr>
          <w:p>
            <w:r>
              <w:t>Utilisation prévue</w:t>
            </w:r>
          </w:p>
        </w:tc>
        <w:tc>
          <w:tcPr>
            <w:tcW w:type="dxa" w:w="5112"/>
            <w:vAlign w:val="center"/>
          </w:tcPr>
          <w:p>
            <w:r>
              <w:t>Utiliser pour encadrer une mission indépendante avec livrables, planning et propriété intellectuelle.</w:t>
            </w:r>
          </w:p>
        </w:tc>
      </w:tr>
      <w:tr>
        <w:tc>
          <w:tcPr>
            <w:tcW w:type="dxa" w:w="5112"/>
            <w:vAlign w:val="center"/>
            <w:shd w:fill="EEF4FF"/>
          </w:tcPr>
          <w:p>
            <w:r>
              <w:t>À éviter</w:t>
            </w:r>
          </w:p>
        </w:tc>
        <w:tc>
          <w:tcPr>
            <w:tcW w:type="dxa" w:w="5112"/>
            <w:vAlign w:val="center"/>
          </w:tcPr>
          <w:p>
            <w:r>
              <w:t>À éviter si le client impose un lien de subordination comparable au salariat.</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freelance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freelance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