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échéancier de remboursement gratuit</w:t>
      </w:r>
    </w:p>
    <w:p>
      <w:r>
        <w:rPr>
          <w:b/>
          <w:i w:val="0"/>
          <w:color w:val="0B2D57"/>
        </w:rPr>
        <w:t>Version simple — France — fichier modifiable gratuit</w:t>
      </w:r>
    </w:p>
    <w:p>
      <w:r>
        <w:rPr>
          <w:b w:val="0"/>
          <w:i/>
        </w:rPr>
        <w:t>Utiliser pour organiser des remboursements datés et prouvables.</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Échéancier de remboursement</w:t>
            </w:r>
          </w:p>
        </w:tc>
      </w:tr>
      <w:tr>
        <w:tc>
          <w:tcPr>
            <w:tcW w:type="dxa" w:w="5112"/>
            <w:vAlign w:val="center"/>
            <w:shd w:fill="EEF4FF"/>
          </w:tcPr>
          <w:p>
            <w:r>
              <w:t>Utilisation prévue</w:t>
            </w:r>
          </w:p>
        </w:tc>
        <w:tc>
          <w:tcPr>
            <w:tcW w:type="dxa" w:w="5112"/>
            <w:vAlign w:val="center"/>
          </w:tcPr>
          <w:p>
            <w:r>
              <w:t>Utiliser pour organiser des remboursements datés et prouvables.</w:t>
            </w:r>
          </w:p>
        </w:tc>
      </w:tr>
      <w:tr>
        <w:tc>
          <w:tcPr>
            <w:tcW w:type="dxa" w:w="5112"/>
            <w:vAlign w:val="center"/>
            <w:shd w:fill="EEF4FF"/>
          </w:tcPr>
          <w:p>
            <w:r>
              <w:t>À éviter</w:t>
            </w:r>
          </w:p>
        </w:tc>
        <w:tc>
          <w:tcPr>
            <w:tcW w:type="dxa" w:w="5112"/>
            <w:vAlign w:val="center"/>
          </w:tcPr>
          <w:p>
            <w:r>
              <w:t>Ne pas utiliser lorsque la somme, les garanties, les intérêts ou le risque de conflit justifient un acte renforcé ou une consultation professionnelle.</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Dans « Échéancier de remboursement », le montant, la cause, la date et l’identité des parties doivent être incontestables.</w:t>
      </w:r>
    </w:p>
    <w:p>
      <w:pPr>
        <w:pStyle w:val="ListBullet"/>
      </w:pPr>
      <w:r>
        <w:t>Prévoir échéancier, remboursement anticipé, retard, quittance, justificatifs et preuve des paiements.</w:t>
      </w:r>
    </w:p>
    <w:p>
      <w:pPr>
        <w:pStyle w:val="ListBullet"/>
      </w:pPr>
      <w:r>
        <w:t>Vérifier les éventuelles obligations fiscales, déclaratives ou bancaires selon le montant et la nature de l’opération.</w:t>
      </w:r>
    </w:p>
    <w:p>
      <w:pPr>
        <w:pStyle w:val="ListBullet"/>
      </w:pPr>
      <w:r>
        <w:t>Conserver virements, reçus, reconnaissance signée, échanges et versions successives.</w:t>
      </w:r>
    </w:p>
    <w:p>
      <w:pPr>
        <w:pStyle w:val="Heading1"/>
      </w:pPr>
      <w:r>
        <w:rPr>
          <w:b w:val="0"/>
          <w:i w:val="0"/>
        </w:rPr>
        <w:t>B. Pièges à éviter</w:t>
      </w:r>
    </w:p>
    <w:p>
      <w:pPr>
        <w:pStyle w:val="ListBullet"/>
      </w:pPr>
      <w:r>
        <w:t>Montant ou origine de la dette imprécis.</w:t>
      </w:r>
    </w:p>
    <w:p>
      <w:pPr>
        <w:pStyle w:val="ListBullet"/>
      </w:pPr>
      <w:r>
        <w:t>Échéancier absent ou irréaliste.</w:t>
      </w:r>
    </w:p>
    <w:p>
      <w:pPr>
        <w:pStyle w:val="ListBullet"/>
      </w:pPr>
      <w:r>
        <w:t>Absence de preuve de versement ou de remboursement.</w:t>
      </w:r>
    </w:p>
    <w:p>
      <w:pPr>
        <w:pStyle w:val="ListBullet"/>
      </w:pPr>
      <w:r>
        <w:t>Garantie, intérêt, retard ou quittance mal rédigés.</w:t>
      </w:r>
    </w:p>
    <w:p>
      <w:pPr>
        <w:pStyle w:val="Heading1"/>
      </w:pPr>
      <w:r>
        <w:rPr>
          <w:b w:val="0"/>
          <w:i w:val="0"/>
        </w:rPr>
        <w:t>C. Clauses et informations à adapter</w:t>
      </w:r>
    </w:p>
    <w:p>
      <w:pPr>
        <w:pStyle w:val="ListBullet"/>
      </w:pPr>
      <w:r>
        <w:t>Montant : préciser le contenu exact, les limites, les preuves et les conséquences pratiques.</w:t>
      </w:r>
    </w:p>
    <w:p>
      <w:pPr>
        <w:pStyle w:val="ListBullet"/>
      </w:pPr>
      <w:r>
        <w:t>Remboursement : préciser le contenu exact, les limites, les preuves et les conséquences pratiques.</w:t>
      </w:r>
    </w:p>
    <w:p>
      <w:pPr>
        <w:pStyle w:val="ListBullet"/>
      </w:pPr>
      <w:r>
        <w:t>Échéancier : préciser le contenu exact, les limites, les preuves et les conséquences pratiques.</w:t>
      </w:r>
    </w:p>
    <w:p>
      <w:pPr>
        <w:pStyle w:val="ListBullet"/>
      </w:pPr>
      <w:r>
        <w:t>Intérêts : préciser le contenu exact, les limites, les preuves et les conséquences pratiques.</w:t>
      </w:r>
    </w:p>
    <w:p>
      <w:pPr>
        <w:pStyle w:val="ListBullet"/>
      </w:pPr>
      <w:r>
        <w:t>Preuve : préciser le contenu exact, les limites, les preuves et les conséquences pratiques.</w:t>
      </w:r>
    </w:p>
    <w:p>
      <w:pPr>
        <w:pStyle w:val="ListBullet"/>
      </w:pPr>
      <w:r>
        <w:t>Défaut de paiement : préciser le contenu exact, les limites, les preuves et les conséquences pratiques.</w:t>
      </w:r>
    </w:p>
    <w:p>
      <w:pPr>
        <w:pStyle w:val="ListBullet"/>
      </w:pPr>
      <w:r>
        <w:t>Identité du créancier et du débiteur : ne pas laisser vide ; indiquer “sans objet” si le point ne concerne pas le dossier.</w:t>
      </w:r>
    </w:p>
    <w:p>
      <w:pPr>
        <w:pStyle w:val="ListBullet"/>
      </w:pPr>
      <w:r>
        <w:t>Montant exact et devise : ne pas laisser vide ; indiquer “sans objet” si le point ne concerne pas le dossier.</w:t>
      </w:r>
    </w:p>
    <w:p>
      <w:pPr>
        <w:pStyle w:val="ListBullet"/>
      </w:pPr>
      <w:r>
        <w:t>Date de remise des fonds ou de naissance de la dette : ne pas laisser vide ; indiquer “sans objet” si le point ne concerne pas le dossier.</w:t>
      </w:r>
    </w:p>
    <w:p>
      <w:pPr>
        <w:pStyle w:val="ListBullet"/>
      </w:pPr>
      <w:r>
        <w:t>Échéancier de remboursement : ne pas laisser vide ; indiquer “sans objet” si le point ne concerne pas le dossier.</w:t>
      </w:r>
    </w:p>
    <w:p>
      <w:pPr>
        <w:pStyle w:val="ListBullet"/>
      </w:pPr>
      <w:r>
        <w:t>Intérêts éventuels ou absence d’intérêts : ne pas laisser vide ; indiquer “sans objet” si le point ne concerne pas le dossier.</w:t>
      </w:r>
    </w:p>
    <w:p>
      <w:pPr>
        <w:pStyle w:val="ListBullet"/>
      </w:pPr>
      <w:r>
        <w:t>Remboursement anticipé : ne pas laisser vide ; indiquer “sans objet” si le point ne concerne pas le dossier.</w:t>
      </w:r>
    </w:p>
    <w:p>
      <w:pPr>
        <w:pStyle w:val="ListBullet"/>
      </w:pPr>
      <w:r>
        <w:t>Preuves de paiement : ne pas laisser vide ; indiquer “sans objet” si le point ne concerne pas le dossier.</w:t>
      </w:r>
    </w:p>
    <w:p>
      <w:pPr>
        <w:pStyle w:val="ListBullet"/>
      </w:pPr>
      <w:r>
        <w:t>Défaut de paiement et mise en demeure : ne pas laisser vide ; indiquer “sans objet” si le point ne concerne pas le dossier.</w:t>
      </w:r>
    </w:p>
    <w:p>
      <w:pPr>
        <w:pStyle w:val="ListBullet"/>
      </w:pPr>
      <w:r>
        <w:t>Date et signatures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Obligations principales</w:t>
      </w:r>
    </w:p>
    <w:p>
      <w:r>
        <w:rPr>
          <w:b w:val="0"/>
          <w:i w:val="0"/>
        </w:rPr>
        <w:t>Chaque partie s’engage à exécuter les obligations expressément prévues dans le présent document, avec loyauté, dans les délais prévus et avec les preuves nécessaires.</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échéancier de remboursement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