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devis gratuit</w:t>
      </w:r>
    </w:p>
    <w:p>
      <w:r>
        <w:rPr>
          <w:b/>
          <w:i w:val="0"/>
          <w:color w:val="0B2D57"/>
        </w:rPr>
        <w:t>Version simple — France — fichier modifiable gratuit</w:t>
      </w:r>
    </w:p>
    <w:p>
      <w:r>
        <w:rPr>
          <w:b w:val="0"/>
          <w:i/>
        </w:rPr>
        <w:t>Utiliser pour détailler une offre, un prix et les conditions de réalisation avant acceptation.</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Devis</w:t>
            </w:r>
          </w:p>
        </w:tc>
      </w:tr>
      <w:tr>
        <w:tc>
          <w:tcPr>
            <w:tcW w:type="dxa" w:w="5112"/>
            <w:vAlign w:val="center"/>
            <w:shd w:fill="EEF4FF"/>
          </w:tcPr>
          <w:p>
            <w:r>
              <w:t>Utilisation prévue</w:t>
            </w:r>
          </w:p>
        </w:tc>
        <w:tc>
          <w:tcPr>
            <w:tcW w:type="dxa" w:w="5112"/>
            <w:vAlign w:val="center"/>
          </w:tcPr>
          <w:p>
            <w:r>
              <w:t>Utiliser pour détailler une offre, un prix et les conditions de réalisation avant acceptation.</w:t>
            </w:r>
          </w:p>
        </w:tc>
      </w:tr>
      <w:tr>
        <w:tc>
          <w:tcPr>
            <w:tcW w:type="dxa" w:w="5112"/>
            <w:vAlign w:val="center"/>
            <w:shd w:fill="EEF4FF"/>
          </w:tcPr>
          <w:p>
            <w:r>
              <w:t>À éviter</w:t>
            </w:r>
          </w:p>
        </w:tc>
        <w:tc>
          <w:tcPr>
            <w:tcW w:type="dxa" w:w="5112"/>
            <w:vAlign w:val="center"/>
          </w:tcPr>
          <w:p>
            <w:r>
              <w:t>À éviter s’il manque le périmètre, les exclusions ou les conditions de validité.</w:t>
            </w:r>
          </w:p>
        </w:tc>
      </w:tr>
      <w:tr>
        <w:tc>
          <w:tcPr>
            <w:tcW w:type="dxa" w:w="5112"/>
            <w:vAlign w:val="center"/>
            <w:shd w:fill="EEF4FF"/>
          </w:tcPr>
          <w:p>
            <w:r>
              <w:t>Niveau de risque</w:t>
            </w:r>
          </w:p>
        </w:tc>
        <w:tc>
          <w:tcPr>
            <w:tcW w:type="dxa" w:w="5112"/>
            <w:vAlign w:val="center"/>
          </w:tcPr>
          <w:p>
            <w:r>
              <w:t>faible</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Devis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Client et prestataire : ne pas laisser vide ; indiquer “sans objet” si le point ne concerne pas le dossier.</w:t>
      </w:r>
    </w:p>
    <w:p>
      <w:pPr>
        <w:pStyle w:val="ListBullet"/>
      </w:pPr>
      <w:r>
        <w:t>Objet de la mission : ne pas laisser vide ; indiquer “sans objet” si le point ne concerne pas le dossier.</w:t>
      </w:r>
    </w:p>
    <w:p>
      <w:pPr>
        <w:pStyle w:val="ListBullet"/>
      </w:pPr>
      <w:r>
        <w:t>Livrables attendus : ne pas laisser vide ; indiquer “sans objet” si le point ne concerne pas le dossier.</w:t>
      </w:r>
    </w:p>
    <w:p>
      <w:pPr>
        <w:pStyle w:val="ListBullet"/>
      </w:pPr>
      <w:r>
        <w:t>Planning et jalons : ne pas laisser vide ; indiquer “sans objet” si le point ne concerne pas le dossier.</w:t>
      </w:r>
    </w:p>
    <w:p>
      <w:pPr>
        <w:pStyle w:val="ListBullet"/>
      </w:pPr>
      <w:r>
        <w:t>Prix et paiement : ne pas laisser vide ; indiquer “sans objet” si le point ne concerne pas le dossier.</w:t>
      </w:r>
    </w:p>
    <w:p>
      <w:pPr>
        <w:pStyle w:val="ListBullet"/>
      </w:pPr>
      <w:r>
        <w:t>Confidentialité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Responsabilité : ne pas laisser vide ; indiquer “sans objet” si le point ne concerne pas le dossier.</w:t>
      </w:r>
    </w:p>
    <w:p>
      <w:pPr>
        <w:pStyle w:val="ListBullet"/>
      </w:pPr>
      <w:r>
        <w:t>Résiliation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devis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