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saas gratuit</w:t>
      </w:r>
    </w:p>
    <w:p>
      <w:r>
        <w:rPr>
          <w:b/>
          <w:i w:val="0"/>
          <w:color w:val="0B2D57"/>
        </w:rPr>
        <w:t>Version simple — France — fichier modifiable gratuit</w:t>
      </w:r>
    </w:p>
    <w:p>
      <w:r>
        <w:rPr>
          <w:b w:val="0"/>
          <w:i/>
        </w:rPr>
        <w:t>Utiliser pour encadrer l’accès à un logiciel en ligne, le support, les niveaux de service et les données.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SaaS</w:t>
            </w:r>
          </w:p>
        </w:tc>
      </w:tr>
      <w:tr>
        <w:tc>
          <w:tcPr>
            <w:tcW w:type="dxa" w:w="5112"/>
            <w:vAlign w:val="center"/>
            <w:shd w:fill="EEF4FF"/>
          </w:tcPr>
          <w:p>
            <w:r>
              <w:t>Utilisation prévue</w:t>
            </w:r>
          </w:p>
        </w:tc>
        <w:tc>
          <w:tcPr>
            <w:tcW w:type="dxa" w:w="5112"/>
            <w:vAlign w:val="center"/>
          </w:tcPr>
          <w:p>
            <w:r>
              <w:t>Utiliser pour encadrer l’accès à un logiciel en ligne, le support, les niveaux de service et les données.</w:t>
            </w:r>
          </w:p>
        </w:tc>
      </w:tr>
      <w:tr>
        <w:tc>
          <w:tcPr>
            <w:tcW w:type="dxa" w:w="5112"/>
            <w:vAlign w:val="center"/>
            <w:shd w:fill="EEF4FF"/>
          </w:tcPr>
          <w:p>
            <w:r>
              <w:t>À éviter</w:t>
            </w:r>
          </w:p>
        </w:tc>
        <w:tc>
          <w:tcPr>
            <w:tcW w:type="dxa" w:w="5112"/>
            <w:vAlign w:val="center"/>
          </w:tcPr>
          <w:p>
            <w:r>
              <w:t>À éviter sans clause RGPD et sans description claire du service.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SaaS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saas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