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rédaction web gratuit</w:t>
      </w:r>
    </w:p>
    <w:p>
      <w:r>
        <w:rPr>
          <w:b/>
          <w:i w:val="0"/>
          <w:color w:val="0B2D57"/>
        </w:rPr>
        <w:t>Version simple — France — fichier modifiable gratuit</w:t>
      </w:r>
    </w:p>
    <w:p>
      <w:r>
        <w:rPr>
          <w:b w:val="0"/>
          <w:i/>
        </w:rPr>
        <w:t>Cadrer une mission de rédaction, livraison, corrections et cession de droits.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rédaction web</w:t>
            </w:r>
          </w:p>
        </w:tc>
      </w:tr>
      <w:tr>
        <w:tc>
          <w:tcPr>
            <w:tcW w:type="dxa" w:w="5112"/>
            <w:vAlign w:val="center"/>
            <w:shd w:fill="EEF4FF"/>
          </w:tcPr>
          <w:p>
            <w:r>
              <w:t>Utilisation prévue</w:t>
            </w:r>
          </w:p>
        </w:tc>
        <w:tc>
          <w:tcPr>
            <w:tcW w:type="dxa" w:w="5112"/>
            <w:vAlign w:val="center"/>
          </w:tcPr>
          <w:p>
            <w:r>
              <w:t>À utiliser pour préciser volume, ton, sources, SEO, délais, corrections et droits cédés.</w:t>
            </w:r>
          </w:p>
        </w:tc>
      </w:tr>
      <w:tr>
        <w:tc>
          <w:tcPr>
            <w:tcW w:type="dxa" w:w="5112"/>
            <w:vAlign w:val="center"/>
            <w:shd w:fill="EEF4FF"/>
          </w:tcPr>
          <w:p>
            <w:r>
              <w:t>À éviter</w:t>
            </w:r>
          </w:p>
        </w:tc>
        <w:tc>
          <w:tcPr>
            <w:tcW w:type="dxa" w:w="5112"/>
            <w:vAlign w:val="center"/>
          </w:tcPr>
          <w:p>
            <w:r>
              <w:t>À éviter si les droits d’auteur, l’usage IA ou la confidentialité ne sont pas réglés.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rédaction web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Propriété intellectuelle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Paiement : préciser le contenu exact, les limites, les preuves et les conséquences pratiques.</w:t>
      </w:r>
    </w:p>
    <w:p>
      <w:pPr>
        <w:pStyle w:val="ListBullet"/>
      </w:pPr>
      <w:r>
        <w:t>Acceptation : préciser le contenu exact, les limites, les preuves et les conséquences pratiques.</w:t>
      </w:r>
    </w:p>
    <w:p>
      <w:pPr>
        <w:pStyle w:val="ListBullet"/>
      </w:pPr>
      <w:r>
        <w:t>Parties : ne pas laisser vide ; indiquer “sans objet” si le point ne concerne pas le dossier.</w:t>
      </w:r>
    </w:p>
    <w:p>
      <w:pPr>
        <w:pStyle w:val="ListBullet"/>
      </w:pPr>
      <w:r>
        <w:t>Sujets : ne pas laisser vide ; indiquer “sans objet” si le point ne concerne pas le dossier.</w:t>
      </w:r>
    </w:p>
    <w:p>
      <w:pPr>
        <w:pStyle w:val="ListBullet"/>
      </w:pPr>
      <w:r>
        <w:t>Volume : ne pas laisser vide ; indiquer “sans objet” si le point ne concerne pas le dossier.</w:t>
      </w:r>
    </w:p>
    <w:p>
      <w:pPr>
        <w:pStyle w:val="ListBullet"/>
      </w:pPr>
      <w:r>
        <w:t>Délais : ne pas laisser vide ; indiquer “sans objet” si le point ne concerne pas le dossier.</w:t>
      </w:r>
    </w:p>
    <w:p>
      <w:pPr>
        <w:pStyle w:val="ListBullet"/>
      </w:pPr>
      <w:r>
        <w:t>Corrections : ne pas laisser vide ; indiquer “sans objet” si le point ne concerne pas le dossier.</w:t>
      </w:r>
    </w:p>
    <w:p>
      <w:pPr>
        <w:pStyle w:val="ListBullet"/>
      </w:pPr>
      <w:r>
        <w:t>Prix : ne pas laisser vide ; indiquer “sans objet” si le point ne concerne pas le dossier.</w:t>
      </w:r>
    </w:p>
    <w:p>
      <w:pPr>
        <w:pStyle w:val="ListBullet"/>
      </w:pPr>
      <w:r>
        <w:t>Cession de droits : ne pas laisser vide ; indiquer “sans objet” si le point ne concerne pas le dossier.</w:t>
      </w:r>
    </w:p>
    <w:p>
      <w:pPr>
        <w:pStyle w:val="ListBullet"/>
      </w:pPr>
      <w:r>
        <w:t>Confidentialité : ne pas laisser vide ; indiquer “sans objet” si le point ne concerne pas le dossier.</w:t>
      </w:r>
    </w:p>
    <w:p>
      <w:pPr>
        <w:pStyle w:val="ListBullet"/>
      </w:pPr>
      <w:r>
        <w:t>Livraison : ne pas laisser vide ; indiquer “sans objet” si le point ne concerne pas le dossier.</w:t>
      </w:r>
    </w:p>
    <w:p>
      <w:pPr>
        <w:pStyle w:val="ListBullet"/>
      </w:pPr>
      <w:r>
        <w:t>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rédaction web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