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d’infogérance gratuit</w:t>
      </w:r>
    </w:p>
    <w:p>
      <w:r>
        <w:rPr>
          <w:b/>
          <w:i w:val="0"/>
          <w:color w:val="0B2D57"/>
        </w:rPr>
        <w:t>Version simple — France — fichier modifiable gratuit</w:t>
      </w:r>
    </w:p>
    <w:p>
      <w:r>
        <w:rPr>
          <w:b w:val="0"/>
          <w:i/>
        </w:rPr>
        <w:t>Encadrer l’administration, supervision et support d’un système informatique.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d’infogérance</w:t>
            </w:r>
          </w:p>
        </w:tc>
      </w:tr>
      <w:tr>
        <w:tc>
          <w:tcPr>
            <w:tcW w:type="dxa" w:w="5112"/>
            <w:vAlign w:val="center"/>
            <w:shd w:fill="EEF4FF"/>
          </w:tcPr>
          <w:p>
            <w:r>
              <w:t>Utilisation prévue</w:t>
            </w:r>
          </w:p>
        </w:tc>
        <w:tc>
          <w:tcPr>
            <w:tcW w:type="dxa" w:w="5112"/>
            <w:vAlign w:val="center"/>
          </w:tcPr>
          <w:p>
            <w:r>
              <w:t>À utiliser pour préciser périmètre, niveaux de service, sécurité, sauvegardes, réversibilité et confidentialité.</w:t>
            </w:r>
          </w:p>
        </w:tc>
      </w:tr>
      <w:tr>
        <w:tc>
          <w:tcPr>
            <w:tcW w:type="dxa" w:w="5112"/>
            <w:vAlign w:val="center"/>
            <w:shd w:fill="EEF4FF"/>
          </w:tcPr>
          <w:p>
            <w:r>
              <w:t>À éviter</w:t>
            </w:r>
          </w:p>
        </w:tc>
        <w:tc>
          <w:tcPr>
            <w:tcW w:type="dxa" w:w="5112"/>
            <w:vAlign w:val="center"/>
          </w:tcPr>
          <w:p>
            <w:r>
              <w:t>À éviter sans analyse sécurité, accès administrateur, données personnelles ou continuité d’activité.</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d’infogérance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Réversibilité : préciser le contenu exact, les limites, les preuves et les conséquences pratiques.</w:t>
      </w:r>
    </w:p>
    <w:p>
      <w:pPr>
        <w:pStyle w:val="ListBullet"/>
      </w:pPr>
      <w:r>
        <w:t>Données hébergées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Audit : préciser le contenu exact, les limites, les preuves et les conséquences pratiques.</w:t>
      </w:r>
    </w:p>
    <w:p>
      <w:pPr>
        <w:pStyle w:val="ListBullet"/>
      </w:pPr>
      <w:r>
        <w:t>Parties : ne pas laisser vide ; indiquer “sans objet” si le point ne concerne pas le dossier.</w:t>
      </w:r>
    </w:p>
    <w:p>
      <w:pPr>
        <w:pStyle w:val="ListBullet"/>
      </w:pPr>
      <w:r>
        <w:t>Périmètre technique : ne pas laisser vide ; indiquer “sans objet” si le point ne concerne pas le dossier.</w:t>
      </w:r>
    </w:p>
    <w:p>
      <w:pPr>
        <w:pStyle w:val="ListBullet"/>
      </w:pPr>
      <w:r>
        <w:t>Niveaux de service : ne pas laisser vide ; indiquer “sans objet” si le point ne concerne pas le dossier.</w:t>
      </w:r>
    </w:p>
    <w:p>
      <w:pPr>
        <w:pStyle w:val="ListBullet"/>
      </w:pPr>
      <w:r>
        <w:t>Sécurité : ne pas laisser vide ; indiquer “sans objet” si le point ne concerne pas le dossier.</w:t>
      </w:r>
    </w:p>
    <w:p>
      <w:pPr>
        <w:pStyle w:val="ListBullet"/>
      </w:pPr>
      <w:r>
        <w:t>Sauvegardes : ne pas laisser vide ; indiquer “sans objet” si le point ne concerne pas le dossier.</w:t>
      </w:r>
    </w:p>
    <w:p>
      <w:pPr>
        <w:pStyle w:val="ListBullet"/>
      </w:pPr>
      <w:r>
        <w:t>Accès : ne pas laisser vide ; indiquer “sans objet” si le point ne concerne pas le dossier.</w:t>
      </w:r>
    </w:p>
    <w:p>
      <w:pPr>
        <w:pStyle w:val="ListBullet"/>
      </w:pPr>
      <w:r>
        <w:t>Prix : ne pas laisser vide ; indiquer “sans objet” si le point ne concerne pas le dossier.</w:t>
      </w:r>
    </w:p>
    <w:p>
      <w:pPr>
        <w:pStyle w:val="ListBullet"/>
      </w:pPr>
      <w:r>
        <w:t>Réversibilité : ne pas laisser vide ; indiquer “sans objet” si le point ne concerne pas le dossier.</w:t>
      </w:r>
    </w:p>
    <w:p>
      <w:pPr>
        <w:pStyle w:val="ListBullet"/>
      </w:pPr>
      <w:r>
        <w:t>Confidentialité : ne pas laisser vide ; indiquer “sans objet” si le point ne concerne pas le dossier.</w:t>
      </w:r>
    </w:p>
    <w:p>
      <w:pPr>
        <w:pStyle w:val="ListBullet"/>
      </w:pPr>
      <w:r>
        <w:t>Responsabilité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d’infogérance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