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franchise gratuit</w:t>
      </w:r>
    </w:p>
    <w:p>
      <w:r>
        <w:rPr>
          <w:b/>
          <w:i w:val="0"/>
          <w:color w:val="0B2D57"/>
        </w:rPr>
        <w:t>Version simple — France — fichier modifiable gratuit</w:t>
      </w:r>
    </w:p>
    <w:p>
      <w:r>
        <w:rPr>
          <w:b w:val="0"/>
          <w:i/>
        </w:rPr>
        <w:t>Structurer une relation de franchise avec marque, savoir-faire et assistance.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franchise</w:t>
            </w:r>
          </w:p>
        </w:tc>
      </w:tr>
      <w:tr>
        <w:tc>
          <w:tcPr>
            <w:tcW w:type="dxa" w:w="5112"/>
            <w:vAlign w:val="center"/>
            <w:shd w:fill="EEF4FF"/>
          </w:tcPr>
          <w:p>
            <w:r>
              <w:t>Utilisation prévue</w:t>
            </w:r>
          </w:p>
        </w:tc>
        <w:tc>
          <w:tcPr>
            <w:tcW w:type="dxa" w:w="5112"/>
            <w:vAlign w:val="center"/>
          </w:tcPr>
          <w:p>
            <w:r>
              <w:t>À utiliser uniquement après analyse du réseau, des obligations d’information et des engagements financiers.</w:t>
            </w:r>
          </w:p>
        </w:tc>
      </w:tr>
      <w:tr>
        <w:tc>
          <w:tcPr>
            <w:tcW w:type="dxa" w:w="5112"/>
            <w:vAlign w:val="center"/>
            <w:shd w:fill="EEF4FF"/>
          </w:tcPr>
          <w:p>
            <w:r>
              <w:t>À éviter</w:t>
            </w:r>
          </w:p>
        </w:tc>
        <w:tc>
          <w:tcPr>
            <w:tcW w:type="dxa" w:w="5112"/>
            <w:vAlign w:val="center"/>
          </w:tcPr>
          <w:p>
            <w:r>
              <w:t>À éviter comme modèle standard non relu : la franchise impose une forte personnalisation.</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franchise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Propriété intellectuelle : préciser le contenu exact, les limites, les preuves et les conséquences pratiques.</w:t>
      </w:r>
    </w:p>
    <w:p>
      <w:pPr>
        <w:pStyle w:val="ListBullet"/>
      </w:pPr>
      <w:r>
        <w:t>Exclusivité : préciser le contenu exact, les limites, les preuves et les conséquences pratiques.</w:t>
      </w:r>
    </w:p>
    <w:p>
      <w:pPr>
        <w:pStyle w:val="ListBullet"/>
      </w:pPr>
      <w:r>
        <w:t>Paiement : préciser le contenu exact, les limites, les preuves et les conséquences pratiques.</w:t>
      </w:r>
    </w:p>
    <w:p>
      <w:pPr>
        <w:pStyle w:val="ListBullet"/>
      </w:pPr>
      <w:r>
        <w:t>Non-concurrence : préciser le contenu exact, les limites, les preuves et les conséquences pratiques.</w:t>
      </w:r>
    </w:p>
    <w:p>
      <w:pPr>
        <w:pStyle w:val="ListBullet"/>
      </w:pPr>
      <w:r>
        <w:t>Résiliation : préciser le contenu exact, les limites, les preuves et les conséquences pratiques.</w:t>
      </w:r>
    </w:p>
    <w:p>
      <w:pPr>
        <w:pStyle w:val="ListBullet"/>
      </w:pPr>
      <w:r>
        <w:t>Parties : ne pas laisser vide ; indiquer “sans objet” si le point ne concerne pas le dossier.</w:t>
      </w:r>
    </w:p>
    <w:p>
      <w:pPr>
        <w:pStyle w:val="ListBullet"/>
      </w:pPr>
      <w:r>
        <w:t>Marque : ne pas laisser vide ; indiquer “sans objet” si le point ne concerne pas le dossier.</w:t>
      </w:r>
    </w:p>
    <w:p>
      <w:pPr>
        <w:pStyle w:val="ListBullet"/>
      </w:pPr>
      <w:r>
        <w:t>Savoir-faire : ne pas laisser vide ; indiquer “sans objet” si le point ne concerne pas le dossier.</w:t>
      </w:r>
    </w:p>
    <w:p>
      <w:pPr>
        <w:pStyle w:val="ListBullet"/>
      </w:pPr>
      <w:r>
        <w:t>Territoire : ne pas laisser vide ; indiquer “sans objet” si le point ne concerne pas le dossier.</w:t>
      </w:r>
    </w:p>
    <w:p>
      <w:pPr>
        <w:pStyle w:val="ListBullet"/>
      </w:pPr>
      <w:r>
        <w:t>Droits d’entrée : ne pas laisser vide ; indiquer “sans objet” si le point ne concerne pas le dossier.</w:t>
      </w:r>
    </w:p>
    <w:p>
      <w:pPr>
        <w:pStyle w:val="ListBullet"/>
      </w:pPr>
      <w:r>
        <w:t>Redevances : ne pas laisser vide ; indiquer “sans objet” si le point ne concerne pas le dossier.</w:t>
      </w:r>
    </w:p>
    <w:p>
      <w:pPr>
        <w:pStyle w:val="ListBullet"/>
      </w:pPr>
      <w:r>
        <w:t>Assistance : ne pas laisser vide ; indiquer “sans objet” si le point ne concerne pas le dossier.</w:t>
      </w:r>
    </w:p>
    <w:p>
      <w:pPr>
        <w:pStyle w:val="ListBullet"/>
      </w:pPr>
      <w:r>
        <w:t>Formation : ne pas laisser vide ; indiquer “sans objet” si le point ne concerne pas le dossier.</w:t>
      </w:r>
    </w:p>
    <w:p>
      <w:pPr>
        <w:pStyle w:val="ListBullet"/>
      </w:pPr>
      <w:r>
        <w:t>Exclusivité : ne pas laisser vide ; indiquer “sans objet” si le point ne concerne pas le dossier.</w:t>
      </w:r>
    </w:p>
    <w:p>
      <w:pPr>
        <w:pStyle w:val="ListBullet"/>
      </w:pPr>
      <w:r>
        <w:t>Fin du contrat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franchise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