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distribution gratuit</w:t>
      </w:r>
    </w:p>
    <w:p>
      <w:r>
        <w:rPr>
          <w:b/>
          <w:i w:val="0"/>
          <w:color w:val="0B2D57"/>
        </w:rPr>
        <w:t>Version simple — France — fichier modifiable gratuit</w:t>
      </w:r>
    </w:p>
    <w:p>
      <w:r>
        <w:rPr>
          <w:b w:val="0"/>
          <w:i/>
        </w:rPr>
        <w:t>Encadrer la revente ou la distribution de produits par un partenaire commercial.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distribution</w:t>
            </w:r>
          </w:p>
        </w:tc>
      </w:tr>
      <w:tr>
        <w:tc>
          <w:tcPr>
            <w:tcW w:type="dxa" w:w="5112"/>
            <w:vAlign w:val="center"/>
            <w:shd w:fill="EEF4FF"/>
          </w:tcPr>
          <w:p>
            <w:r>
              <w:t>Utilisation prévue</w:t>
            </w:r>
          </w:p>
        </w:tc>
        <w:tc>
          <w:tcPr>
            <w:tcW w:type="dxa" w:w="5112"/>
            <w:vAlign w:val="center"/>
          </w:tcPr>
          <w:p>
            <w:r>
              <w:t>À utiliser pour préciser territoire, produits, exclusivité éventuelle, objectifs, prix, commandes et résiliation.</w:t>
            </w:r>
          </w:p>
        </w:tc>
      </w:tr>
      <w:tr>
        <w:tc>
          <w:tcPr>
            <w:tcW w:type="dxa" w:w="5112"/>
            <w:vAlign w:val="center"/>
            <w:shd w:fill="EEF4FF"/>
          </w:tcPr>
          <w:p>
            <w:r>
              <w:t>À éviter</w:t>
            </w:r>
          </w:p>
        </w:tc>
        <w:tc>
          <w:tcPr>
            <w:tcW w:type="dxa" w:w="5112"/>
            <w:vAlign w:val="center"/>
          </w:tcPr>
          <w:p>
            <w:r>
              <w:t>À éviter sans analyse concurrence, exclusivité, dépendance économique ou conditions générales.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distribution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Exclusivité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Loi applicable : préciser le contenu exact, les limites, les preuves et les conséquences pratiques.</w:t>
      </w:r>
    </w:p>
    <w:p>
      <w:pPr>
        <w:pStyle w:val="ListBullet"/>
      </w:pPr>
      <w:r>
        <w:t>Parties : ne pas laisser vide ; indiquer “sans objet” si le point ne concerne pas le dossier.</w:t>
      </w:r>
    </w:p>
    <w:p>
      <w:pPr>
        <w:pStyle w:val="ListBullet"/>
      </w:pPr>
      <w:r>
        <w:t>Produits : ne pas laisser vide ; indiquer “sans objet” si le point ne concerne pas le dossier.</w:t>
      </w:r>
    </w:p>
    <w:p>
      <w:pPr>
        <w:pStyle w:val="ListBullet"/>
      </w:pPr>
      <w:r>
        <w:t>Territoire : ne pas laisser vide ; indiquer “sans objet” si le point ne concerne pas le dossier.</w:t>
      </w:r>
    </w:p>
    <w:p>
      <w:pPr>
        <w:pStyle w:val="ListBullet"/>
      </w:pPr>
      <w:r>
        <w:t>Exclusivité : ne pas laisser vide ; indiquer “sans objet” si le point ne concerne pas le dossier.</w:t>
      </w:r>
    </w:p>
    <w:p>
      <w:pPr>
        <w:pStyle w:val="ListBullet"/>
      </w:pPr>
      <w:r>
        <w:t>Commandes : ne pas laisser vide ; indiquer “sans objet” si le point ne concerne pas le dossier.</w:t>
      </w:r>
    </w:p>
    <w:p>
      <w:pPr>
        <w:pStyle w:val="ListBullet"/>
      </w:pPr>
      <w:r>
        <w:t>Prix : ne pas laisser vide ; indiquer “sans objet” si le point ne concerne pas le dossier.</w:t>
      </w:r>
    </w:p>
    <w:p>
      <w:pPr>
        <w:pStyle w:val="ListBullet"/>
      </w:pPr>
      <w:r>
        <w:t>Objectifs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Résiliation : ne pas laisser vide ; indiquer “sans objet” si le point ne concerne pas le dossier.</w:t>
      </w:r>
    </w:p>
    <w:p>
      <w:pPr>
        <w:pStyle w:val="ListBullet"/>
      </w:pPr>
      <w:r>
        <w:t>Litiges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distribution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