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développement d’application gratuit</w:t>
      </w:r>
    </w:p>
    <w:p>
      <w:r>
        <w:rPr>
          <w:b/>
          <w:i w:val="0"/>
          <w:color w:val="0B2D57"/>
        </w:rPr>
        <w:t>Version simple — France — fichier modifiable gratuit</w:t>
      </w:r>
    </w:p>
    <w:p>
      <w:r>
        <w:rPr>
          <w:b w:val="0"/>
          <w:i/>
        </w:rPr>
        <w:t>Encadrer la création d’une application web ou mobile, ses livrables, ses délais, ses recettes et ses droits d’utilisation.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développement d’application</w:t>
            </w:r>
          </w:p>
        </w:tc>
      </w:tr>
      <w:tr>
        <w:tc>
          <w:tcPr>
            <w:tcW w:type="dxa" w:w="5112"/>
            <w:vAlign w:val="center"/>
            <w:shd w:fill="EEF4FF"/>
          </w:tcPr>
          <w:p>
            <w:r>
              <w:t>Utilisation prévue</w:t>
            </w:r>
          </w:p>
        </w:tc>
        <w:tc>
          <w:tcPr>
            <w:tcW w:type="dxa" w:w="5112"/>
            <w:vAlign w:val="center"/>
          </w:tcPr>
          <w:p>
            <w:r>
              <w:t>À utiliser pour une mission de conception, développement, maintenance initiale ou livraison d’application avec cahier des charges.</w:t>
            </w:r>
          </w:p>
        </w:tc>
      </w:tr>
      <w:tr>
        <w:tc>
          <w:tcPr>
            <w:tcW w:type="dxa" w:w="5112"/>
            <w:vAlign w:val="center"/>
            <w:shd w:fill="EEF4FF"/>
          </w:tcPr>
          <w:p>
            <w:r>
              <w:t>À éviter</w:t>
            </w:r>
          </w:p>
        </w:tc>
        <w:tc>
          <w:tcPr>
            <w:tcW w:type="dxa" w:w="5112"/>
            <w:vAlign w:val="center"/>
          </w:tcPr>
          <w:p>
            <w:r>
              <w:t>À éviter si la mission relève d’un simple support, d’une licence SaaS standard ou d’une cession globale nécessitant une rédaction spécifique.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développement d’application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Livrables : préciser le contenu exact, les limites, les preuves et les conséquences pratiques.</w:t>
      </w:r>
    </w:p>
    <w:p>
      <w:pPr>
        <w:pStyle w:val="ListBullet"/>
      </w:pPr>
      <w:r>
        <w:t>Recette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Données personnelles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Réversibilité : préciser le contenu exact, les limites, les preuves et les conséquences pratiques.</w:t>
      </w:r>
    </w:p>
    <w:p>
      <w:pPr>
        <w:pStyle w:val="ListBullet"/>
      </w:pPr>
      <w:r>
        <w:t>Identité du client et du prestataire : ne pas laisser vide ; indiquer “sans objet” si le point ne concerne pas le dossier.</w:t>
      </w:r>
    </w:p>
    <w:p>
      <w:pPr>
        <w:pStyle w:val="ListBullet"/>
      </w:pPr>
      <w:r>
        <w:t>Périmètre fonctionnel : ne pas laisser vide ; indiquer “sans objet” si le point ne concerne pas le dossier.</w:t>
      </w:r>
    </w:p>
    <w:p>
      <w:pPr>
        <w:pStyle w:val="ListBullet"/>
      </w:pPr>
      <w:r>
        <w:t>Cahier des charges et annexes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acompte et paiement : ne pas laisser vide ; indiquer “sans objet” si le point ne concerne pas le dossier.</w:t>
      </w:r>
    </w:p>
    <w:p>
      <w:pPr>
        <w:pStyle w:val="ListBullet"/>
      </w:pPr>
      <w:r>
        <w:t>Critères de recette : ne pas laisser vide ; indiquer “sans objet” si le point ne concerne pas le dossier.</w:t>
      </w:r>
    </w:p>
    <w:p>
      <w:pPr>
        <w:pStyle w:val="ListBullet"/>
      </w:pPr>
      <w:r>
        <w:t>Correction des anomalies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Hébergement, sécurité et données : ne pas laisser vide ; indiquer “sans objet” si le point ne concerne pas le dossier.</w:t>
      </w:r>
    </w:p>
    <w:p>
      <w:pPr>
        <w:pStyle w:val="ListBullet"/>
      </w:pPr>
      <w:r>
        <w:t>Maintenance éventuelle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développement d’application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