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compte courant d’associé gratuit</w:t>
      </w:r>
    </w:p>
    <w:p>
      <w:r>
        <w:rPr>
          <w:b/>
          <w:i w:val="0"/>
          <w:color w:val="0B2D57"/>
        </w:rPr>
        <w:t>Version simple — France — fichier modifiable gratuit</w:t>
      </w:r>
    </w:p>
    <w:p>
      <w:r>
        <w:rPr>
          <w:b w:val="0"/>
          <w:i/>
        </w:rPr>
        <w:t>Utiliser comme base pour encadrer des avances d’un associé à une société.</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compte courant d’associé</w:t>
            </w:r>
          </w:p>
        </w:tc>
      </w:tr>
      <w:tr>
        <w:tc>
          <w:tcPr>
            <w:tcW w:type="dxa" w:w="5112"/>
            <w:vAlign w:val="center"/>
            <w:shd w:fill="EEF4FF"/>
          </w:tcPr>
          <w:p>
            <w:r>
              <w:t>Utilisation prévue</w:t>
            </w:r>
          </w:p>
        </w:tc>
        <w:tc>
          <w:tcPr>
            <w:tcW w:type="dxa" w:w="5112"/>
            <w:vAlign w:val="center"/>
          </w:tcPr>
          <w:p>
            <w:r>
              <w:t>Utiliser comme base pour encadrer des avances d’un associé à une société.</w:t>
            </w:r>
          </w:p>
        </w:tc>
      </w:tr>
      <w:tr>
        <w:tc>
          <w:tcPr>
            <w:tcW w:type="dxa" w:w="5112"/>
            <w:vAlign w:val="center"/>
            <w:shd w:fill="EEF4FF"/>
          </w:tcPr>
          <w:p>
            <w:r>
              <w:t>À éviter</w:t>
            </w:r>
          </w:p>
        </w:tc>
        <w:tc>
          <w:tcPr>
            <w:tcW w:type="dxa" w:w="5112"/>
            <w:vAlign w:val="center"/>
          </w:tcPr>
          <w:p>
            <w:r>
              <w:t>Ne pas utiliser lorsque la somme, les garanties, les intérêts ou le risque de conflit justifient un acte renforcé ou une consultation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Convention de compte courant d’associé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Montant : préciser le contenu exact, les limites, les preuves et les conséquences pratiques.</w:t>
      </w:r>
    </w:p>
    <w:p>
      <w:pPr>
        <w:pStyle w:val="ListBullet"/>
      </w:pPr>
      <w:r>
        <w:t>Remboursement : préciser le contenu exact, les limites, les preuves et les conséquences pratiques.</w:t>
      </w:r>
    </w:p>
    <w:p>
      <w:pPr>
        <w:pStyle w:val="ListBullet"/>
      </w:pPr>
      <w:r>
        <w:t>Échéancier : préciser le contenu exact, les limites, les preuves et les conséquences pratiques.</w:t>
      </w:r>
    </w:p>
    <w:p>
      <w:pPr>
        <w:pStyle w:val="ListBullet"/>
      </w:pPr>
      <w:r>
        <w:t>Intérêts : préciser le contenu exact, les limites, les preuves et les conséquences pratiques.</w:t>
      </w:r>
    </w:p>
    <w:p>
      <w:pPr>
        <w:pStyle w:val="ListBullet"/>
      </w:pPr>
      <w:r>
        <w:t>Preuve : préciser le contenu exact, les limites, les preuves et les conséquences pratiques.</w:t>
      </w:r>
    </w:p>
    <w:p>
      <w:pPr>
        <w:pStyle w:val="ListBullet"/>
      </w:pPr>
      <w:r>
        <w:t>Défaut de paiement : préciser le contenu exact, les limites, les preuves et les conséquences pratiques.</w:t>
      </w:r>
    </w:p>
    <w:p>
      <w:pPr>
        <w:pStyle w:val="ListBullet"/>
      </w:pPr>
      <w:r>
        <w:t>Identité du créancier et du débiteur : ne pas laisser vide ; indiquer “sans objet” si le point ne concerne pas le dossier.</w:t>
      </w:r>
    </w:p>
    <w:p>
      <w:pPr>
        <w:pStyle w:val="ListBullet"/>
      </w:pPr>
      <w:r>
        <w:t>Montant exact et devise : ne pas laisser vide ; indiquer “sans objet” si le point ne concerne pas le dossier.</w:t>
      </w:r>
    </w:p>
    <w:p>
      <w:pPr>
        <w:pStyle w:val="ListBullet"/>
      </w:pPr>
      <w:r>
        <w:t>Date de remise des fonds ou de naissance de la dette : ne pas laisser vide ; indiquer “sans objet” si le point ne concerne pas le dossier.</w:t>
      </w:r>
    </w:p>
    <w:p>
      <w:pPr>
        <w:pStyle w:val="ListBullet"/>
      </w:pPr>
      <w:r>
        <w:t>Échéancier de remboursement : ne pas laisser vide ; indiquer “sans objet” si le point ne concerne pas le dossier.</w:t>
      </w:r>
    </w:p>
    <w:p>
      <w:pPr>
        <w:pStyle w:val="ListBullet"/>
      </w:pPr>
      <w:r>
        <w:t>Intérêts éventuels ou absence d’intérêts : ne pas laisser vide ; indiquer “sans objet” si le point ne concerne pas le dossier.</w:t>
      </w:r>
    </w:p>
    <w:p>
      <w:pPr>
        <w:pStyle w:val="ListBullet"/>
      </w:pPr>
      <w:r>
        <w:t>Remboursement anticipé : ne pas laisser vide ; indiquer “sans objet” si le point ne concerne pas le dossier.</w:t>
      </w:r>
    </w:p>
    <w:p>
      <w:pPr>
        <w:pStyle w:val="ListBullet"/>
      </w:pPr>
      <w:r>
        <w:t>Preuves de paiement : ne pas laisser vide ; indiquer “sans objet” si le point ne concerne pas le dossier.</w:t>
      </w:r>
    </w:p>
    <w:p>
      <w:pPr>
        <w:pStyle w:val="ListBullet"/>
      </w:pPr>
      <w:r>
        <w:t>Défaut de paiement et mise en demeure : ne pas laisser vide ; indiquer “sans objet” si le point ne concerne pas le dossier.</w:t>
      </w:r>
    </w:p>
    <w:p>
      <w:pPr>
        <w:pStyle w:val="ListBullet"/>
      </w:pPr>
      <w:r>
        <w:t>Date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compte courant d’associé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