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commissionnement gratuit</w:t>
      </w:r>
    </w:p>
    <w:p>
      <w:r>
        <w:rPr>
          <w:b/>
          <w:i w:val="0"/>
          <w:color w:val="0B2D57"/>
        </w:rPr>
        <w:t>Version simple — France — fichier modifiable gratuit</w:t>
      </w:r>
    </w:p>
    <w:p>
      <w:r>
        <w:rPr>
          <w:b w:val="0"/>
          <w:i/>
        </w:rPr>
        <w:t>Utiliser pour définir une commission due en cas d’affaire apportée ou conclue.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commissionnement</w:t>
            </w:r>
          </w:p>
        </w:tc>
      </w:tr>
      <w:tr>
        <w:tc>
          <w:tcPr>
            <w:tcW w:type="dxa" w:w="5112"/>
            <w:vAlign w:val="center"/>
            <w:shd w:fill="EEF4FF"/>
          </w:tcPr>
          <w:p>
            <w:r>
              <w:t>Utilisation prévue</w:t>
            </w:r>
          </w:p>
        </w:tc>
        <w:tc>
          <w:tcPr>
            <w:tcW w:type="dxa" w:w="5112"/>
            <w:vAlign w:val="center"/>
          </w:tcPr>
          <w:p>
            <w:r>
              <w:t>Utiliser pour définir une commission due en cas d’affaire apportée ou conclue.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commissionnement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commissionnement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