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déclaration de changement de bureau gratuit</w:t>
      </w:r>
    </w:p>
    <w:p>
      <w:r>
        <w:rPr>
          <w:b/>
          <w:i w:val="0"/>
          <w:color w:val="0B2D57"/>
        </w:rPr>
        <w:t>Version simple — France — fichier modifiable gratuit</w:t>
      </w:r>
    </w:p>
    <w:p>
      <w:r>
        <w:rPr>
          <w:b w:val="0"/>
          <w:i/>
        </w:rPr>
        <w:t>Utiliser comme checklist des informations à préparer après changement de dirigeants.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Déclaration de changement de bureau</w:t>
            </w:r>
          </w:p>
        </w:tc>
      </w:tr>
      <w:tr>
        <w:tc>
          <w:tcPr>
            <w:tcW w:type="dxa" w:w="5112"/>
            <w:vAlign w:val="center"/>
            <w:shd w:fill="EEF4FF"/>
          </w:tcPr>
          <w:p>
            <w:r>
              <w:t>Utilisation prévue</w:t>
            </w:r>
          </w:p>
        </w:tc>
        <w:tc>
          <w:tcPr>
            <w:tcW w:type="dxa" w:w="5112"/>
            <w:vAlign w:val="center"/>
          </w:tcPr>
          <w:p>
            <w:r>
              <w:t>Utiliser comme checklist des informations à préparer après changement de dirigeants.</w:t>
            </w:r>
          </w:p>
        </w:tc>
      </w:tr>
      <w:tr>
        <w:tc>
          <w:tcPr>
            <w:tcW w:type="dxa" w:w="5112"/>
            <w:vAlign w:val="center"/>
            <w:shd w:fill="EEF4FF"/>
          </w:tcPr>
          <w:p>
            <w:r>
              <w:t>À éviter</w:t>
            </w:r>
          </w:p>
        </w:tc>
        <w:tc>
          <w:tcPr>
            <w:tcW w:type="dxa" w:w="5112"/>
            <w:vAlign w:val="center"/>
          </w:tcPr>
          <w:p>
            <w:r>
              <w:t>Ne pas utiliser sans vérifier les statuts, le règlement intérieur et les règles propres à l’association.</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Déclaration de changement de bureau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Membres : préciser le contenu exact, les limites, les preuves et les conséquences pratiques.</w:t>
      </w:r>
    </w:p>
    <w:p>
      <w:pPr>
        <w:pStyle w:val="ListBullet"/>
      </w:pPr>
      <w:r>
        <w:t>Bureau : préciser le contenu exact, les limites, les preuves et les conséquences pratiques.</w:t>
      </w:r>
    </w:p>
    <w:p>
      <w:pPr>
        <w:pStyle w:val="ListBullet"/>
      </w:pPr>
      <w:r>
        <w:t>Assemblée générale : préciser le contenu exact, les limites, les preuves et les conséquences pratiques.</w:t>
      </w:r>
    </w:p>
    <w:p>
      <w:pPr>
        <w:pStyle w:val="ListBullet"/>
      </w:pPr>
      <w:r>
        <w:t>Vote : préciser le contenu exact, les limites, les preuves et les conséquences pratiques.</w:t>
      </w:r>
    </w:p>
    <w:p>
      <w:pPr>
        <w:pStyle w:val="ListBullet"/>
      </w:pPr>
      <w:r>
        <w:t>Cotisation : préciser le contenu exact, les limites, les preuves et les conséquences pratiques.</w:t>
      </w:r>
    </w:p>
    <w:p>
      <w:pPr>
        <w:pStyle w:val="ListBullet"/>
      </w:pPr>
      <w:r>
        <w:t>Dissolution : préciser le contenu exact, les limites, les preuves et les conséquences pratiques.</w:t>
      </w:r>
    </w:p>
    <w:p>
      <w:pPr>
        <w:pStyle w:val="ListBullet"/>
      </w:pPr>
      <w:r>
        <w:t>Nom, siège et objet de l’association : ne pas laisser vide ; indiquer “sans objet” si le point ne concerne pas le dossier.</w:t>
      </w:r>
    </w:p>
    <w:p>
      <w:pPr>
        <w:pStyle w:val="ListBullet"/>
      </w:pPr>
      <w:r>
        <w:t>Organes de gouvernance : ne pas laisser vide ; indiquer “sans objet” si le point ne concerne pas le dossier.</w:t>
      </w:r>
    </w:p>
    <w:p>
      <w:pPr>
        <w:pStyle w:val="ListBullet"/>
      </w:pPr>
      <w:r>
        <w:t>Membres, cotisations et droits de vote : ne pas laisser vide ; indiquer “sans objet” si le point ne concerne pas le dossier.</w:t>
      </w:r>
    </w:p>
    <w:p>
      <w:pPr>
        <w:pStyle w:val="ListBullet"/>
      </w:pPr>
      <w:r>
        <w:t>Convocations et décisions : ne pas laisser vide ; indiquer “sans objet” si le point ne concerne pas le dossier.</w:t>
      </w:r>
    </w:p>
    <w:p>
      <w:pPr>
        <w:pStyle w:val="ListBullet"/>
      </w:pPr>
      <w:r>
        <w:t>Ressources, dons ou mécénat : ne pas laisser vide ; indiquer “sans objet” si le point ne concerne pas le dossier.</w:t>
      </w:r>
    </w:p>
    <w:p>
      <w:pPr>
        <w:pStyle w:val="ListBullet"/>
      </w:pPr>
      <w:r>
        <w:t>Pouvoirs, mandats et signatures : ne pas laisser vide ; indiquer “sans objet” si le point ne concerne pas le dossier.</w:t>
      </w:r>
    </w:p>
    <w:p>
      <w:pPr>
        <w:pStyle w:val="ListBullet"/>
      </w:pPr>
      <w:r>
        <w:t>Durée, modification et dissolution : ne pas laisser vide ; indiquer “sans objet” si le point ne concerne pas le dossier.</w:t>
      </w:r>
    </w:p>
    <w:p>
      <w:pPr>
        <w:pStyle w:val="ListBullet"/>
      </w:pPr>
      <w:r>
        <w:t>Archivage des procès-verbaux : ne pas laisser vide ; indiquer “sans objet” si le point ne concerne pas le dossier.</w:t>
      </w:r>
    </w:p>
    <w:p>
      <w:pPr>
        <w:pStyle w:val="ListBullet"/>
      </w:pPr>
      <w:r>
        <w:t>Annexes utiles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déclaration de changement de bureau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