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conditions générales d’utilisation gratuit</w:t>
      </w:r>
    </w:p>
    <w:p>
      <w:r>
        <w:rPr>
          <w:b/>
          <w:i w:val="0"/>
          <w:color w:val="0B2D57"/>
        </w:rPr>
        <w:t>Version simple — France — fichier modifiable gratuit</w:t>
      </w:r>
    </w:p>
    <w:p>
      <w:r>
        <w:rPr>
          <w:b w:val="0"/>
          <w:i/>
        </w:rPr>
        <w:t>Utiliser pour cadrer l’usage d’un service numérique, les comptes, contenus et responsabilités.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Conditions générales d’utilisation</w:t>
            </w:r>
          </w:p>
        </w:tc>
      </w:tr>
      <w:tr>
        <w:tc>
          <w:tcPr>
            <w:tcW w:type="dxa" w:w="5112"/>
            <w:vAlign w:val="center"/>
            <w:shd w:fill="EEF4FF"/>
          </w:tcPr>
          <w:p>
            <w:r>
              <w:t>Utilisation prévue</w:t>
            </w:r>
          </w:p>
        </w:tc>
        <w:tc>
          <w:tcPr>
            <w:tcW w:type="dxa" w:w="5112"/>
            <w:vAlign w:val="center"/>
          </w:tcPr>
          <w:p>
            <w:r>
              <w:t>Utiliser pour cadrer l’usage d’un service numérique, les comptes, contenus et responsabilités.</w:t>
            </w:r>
          </w:p>
        </w:tc>
      </w:tr>
      <w:tr>
        <w:tc>
          <w:tcPr>
            <w:tcW w:type="dxa" w:w="5112"/>
            <w:vAlign w:val="center"/>
            <w:shd w:fill="EEF4FF"/>
          </w:tcPr>
          <w:p>
            <w:r>
              <w:t>À éviter</w:t>
            </w:r>
          </w:p>
        </w:tc>
        <w:tc>
          <w:tcPr>
            <w:tcW w:type="dxa" w:w="5112"/>
            <w:vAlign w:val="center"/>
          </w:tcPr>
          <w:p>
            <w:r>
              <w:t>Ne pas confondre avec les CGV ni avec la politique de confidentialité.</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Conditions générales d’utilisation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Données personnelles : préciser le contenu exact, les limites, les preuves et les conséquences pratiques.</w:t>
      </w:r>
    </w:p>
    <w:p>
      <w:pPr>
        <w:pStyle w:val="ListBullet"/>
      </w:pPr>
      <w:r>
        <w:t>Sécurité : préciser le contenu exact, les limites, les preuves et les conséquences pratiques.</w:t>
      </w:r>
    </w:p>
    <w:p>
      <w:pPr>
        <w:pStyle w:val="ListBullet"/>
      </w:pPr>
      <w:r>
        <w:t>Durée de conservation : préciser le contenu exact, les limites, les preuves et les conséquences pratiques.</w:t>
      </w:r>
    </w:p>
    <w:p>
      <w:pPr>
        <w:pStyle w:val="ListBullet"/>
      </w:pPr>
      <w:r>
        <w:t>Sous-traitance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Éditeur ou prestataire : ne pas laisser vide ; indiquer “sans objet” si le point ne concerne pas le dossier.</w:t>
      </w:r>
    </w:p>
    <w:p>
      <w:pPr>
        <w:pStyle w:val="ListBullet"/>
      </w:pPr>
      <w:r>
        <w:t>Service concerné : ne pas laisser vide ; indiquer “sans objet” si le point ne concerne pas le dossier.</w:t>
      </w:r>
    </w:p>
    <w:p>
      <w:pPr>
        <w:pStyle w:val="ListBullet"/>
      </w:pPr>
      <w:r>
        <w:t>Données ou contenus concernés : ne pas laisser vide ; indiquer “sans objet” si le point ne concerne pas le dossier.</w:t>
      </w:r>
    </w:p>
    <w:p>
      <w:pPr>
        <w:pStyle w:val="ListBullet"/>
      </w:pPr>
      <w:r>
        <w:t>Finalités ou usages : ne pas laisser vide ; indiquer “sans objet” si le point ne concerne pas le dossier.</w:t>
      </w:r>
    </w:p>
    <w:p>
      <w:pPr>
        <w:pStyle w:val="ListBullet"/>
      </w:pPr>
      <w:r>
        <w:t>Durées : ne pas laisser vide ; indiquer “sans objet” si le point ne concerne pas le dossier.</w:t>
      </w:r>
    </w:p>
    <w:p>
      <w:pPr>
        <w:pStyle w:val="ListBullet"/>
      </w:pPr>
      <w:r>
        <w:t>Sécurité : ne pas laisser vide ; indiquer “sans objet” si le point ne concerne pas le dossier.</w:t>
      </w:r>
    </w:p>
    <w:p>
      <w:pPr>
        <w:pStyle w:val="ListBullet"/>
      </w:pPr>
      <w:r>
        <w:t>Sous-traitants éventuels : ne pas laisser vide ; indiquer “sans objet” si le point ne concerne pas le dossier.</w:t>
      </w:r>
    </w:p>
    <w:p>
      <w:pPr>
        <w:pStyle w:val="ListBullet"/>
      </w:pPr>
      <w:r>
        <w:t>Droits des utilisateurs : ne pas laisser vide ; indiquer “sans objet” si le point ne concerne pas le dossier.</w:t>
      </w:r>
    </w:p>
    <w:p>
      <w:pPr>
        <w:pStyle w:val="ListBullet"/>
      </w:pPr>
      <w:r>
        <w:t>Contact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conditions générales d’utilisation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