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cession de droits d’auteur gratuit</w:t>
      </w:r>
    </w:p>
    <w:p>
      <w:r>
        <w:rPr>
          <w:b/>
          <w:i w:val="0"/>
          <w:color w:val="0B2D57"/>
        </w:rPr>
        <w:t>Version simple — France — fichier modifiable gratuit</w:t>
      </w:r>
    </w:p>
    <w:p>
      <w:r>
        <w:rPr>
          <w:b w:val="0"/>
          <w:i/>
        </w:rPr>
        <w:t>Utiliser pour transférer des droits d’exploitation sur une création avec périmètre précis.</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Cession de droits d’auteur</w:t>
            </w:r>
          </w:p>
        </w:tc>
      </w:tr>
      <w:tr>
        <w:tc>
          <w:tcPr>
            <w:tcW w:type="dxa" w:w="5112"/>
            <w:vAlign w:val="center"/>
            <w:shd w:fill="EEF4FF"/>
          </w:tcPr>
          <w:p>
            <w:r>
              <w:t>Utilisation prévue</w:t>
            </w:r>
          </w:p>
        </w:tc>
        <w:tc>
          <w:tcPr>
            <w:tcW w:type="dxa" w:w="5112"/>
            <w:vAlign w:val="center"/>
          </w:tcPr>
          <w:p>
            <w:r>
              <w:t>Utiliser pour transférer des droits d’exploitation sur une création avec périmètre précis.</w:t>
            </w:r>
          </w:p>
        </w:tc>
      </w:tr>
      <w:tr>
        <w:tc>
          <w:tcPr>
            <w:tcW w:type="dxa" w:w="5112"/>
            <w:vAlign w:val="center"/>
            <w:shd w:fill="EEF4FF"/>
          </w:tcPr>
          <w:p>
            <w:r>
              <w:t>À éviter</w:t>
            </w:r>
          </w:p>
        </w:tc>
        <w:tc>
          <w:tcPr>
            <w:tcW w:type="dxa" w:w="5112"/>
            <w:vAlign w:val="center"/>
          </w:tcPr>
          <w:p>
            <w:r>
              <w:t>À éviter sans préciser droits cédés, durée, territoire, supports et rémunération.</w:t>
            </w:r>
          </w:p>
        </w:tc>
      </w:tr>
      <w:tr>
        <w:tc>
          <w:tcPr>
            <w:tcW w:type="dxa" w:w="5112"/>
            <w:vAlign w:val="center"/>
            <w:shd w:fill="EEF4FF"/>
          </w:tcPr>
          <w:p>
            <w:r>
              <w:t>Niveau de risque</w:t>
            </w:r>
          </w:p>
        </w:tc>
        <w:tc>
          <w:tcPr>
            <w:tcW w:type="dxa" w:w="5112"/>
            <w:vAlign w:val="center"/>
          </w:tcPr>
          <w:p>
            <w:r>
              <w:t>élevé</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Définir très précisément le périmètre de « Cession de droits d’auteur » : inclus, exclus, livrables, jalons et critères de validation.</w:t>
      </w:r>
    </w:p>
    <w:p>
      <w:pPr>
        <w:pStyle w:val="ListBullet"/>
      </w:pPr>
      <w:r>
        <w:t>Cadrer prix, taxes, acompte, échéances, frais, retard, facturation et conditions de contestation.</w:t>
      </w:r>
    </w:p>
    <w:p>
      <w:pPr>
        <w:pStyle w:val="ListBullet"/>
      </w:pPr>
      <w:r>
        <w:t>Prévoir responsabilité, garanties, assurance, confidentialité, données, propriété intellectuelle et éléments préexistants.</w:t>
      </w:r>
    </w:p>
    <w:p>
      <w:pPr>
        <w:pStyle w:val="ListBullet"/>
      </w:pPr>
      <w:r>
        <w:t>Organiser la fin : résiliation, réversibilité, restitution, paiement du travail réalisé, assistance de sortie et preuves.</w:t>
      </w:r>
    </w:p>
    <w:p>
      <w:pPr>
        <w:pStyle w:val="Heading1"/>
      </w:pPr>
      <w:r>
        <w:rPr>
          <w:b w:val="0"/>
          <w:i w:val="0"/>
        </w:rPr>
        <w:t>B. Pièges à éviter</w:t>
      </w:r>
    </w:p>
    <w:p>
      <w:pPr>
        <w:pStyle w:val="ListBullet"/>
      </w:pPr>
      <w:r>
        <w:t>Livrables, périmètre ou exclusions trop vagues, générant des demandes supplémentaires non prévues.</w:t>
      </w:r>
    </w:p>
    <w:p>
      <w:pPr>
        <w:pStyle w:val="ListBullet"/>
      </w:pPr>
      <w:r>
        <w:t>Prix, paiement, retard, recette ou validation non écrits ou contradictoires avec le devis.</w:t>
      </w:r>
    </w:p>
    <w:p>
      <w:pPr>
        <w:pStyle w:val="ListBullet"/>
      </w:pPr>
      <w:r>
        <w:t>Droits d’auteur, licence, fichiers sources, données ou confidentialité oubliés.</w:t>
      </w:r>
    </w:p>
    <w:p>
      <w:pPr>
        <w:pStyle w:val="ListBullet"/>
      </w:pPr>
      <w:r>
        <w:t>Aucune clause de sortie, restitution, réversibilité ou paiement final.</w:t>
      </w:r>
    </w:p>
    <w:p>
      <w:pPr>
        <w:pStyle w:val="Heading1"/>
      </w:pPr>
      <w:r>
        <w:rPr>
          <w:b w:val="0"/>
          <w:i w:val="0"/>
        </w:rPr>
        <w:t>C. Clauses et informations à adapter</w:t>
      </w:r>
    </w:p>
    <w:p>
      <w:pPr>
        <w:pStyle w:val="ListBullet"/>
      </w:pPr>
      <w:r>
        <w:t>Objet : préciser le contenu exact, les limites, les preuves et les conséquences pratiques.</w:t>
      </w:r>
    </w:p>
    <w:p>
      <w:pPr>
        <w:pStyle w:val="ListBullet"/>
      </w:pPr>
      <w:r>
        <w:t>Durée : préciser le contenu exact, les limites, les preuves et les conséquences pratiques.</w:t>
      </w:r>
    </w:p>
    <w:p>
      <w:pPr>
        <w:pStyle w:val="ListBullet"/>
      </w:pPr>
      <w:r>
        <w:t>Prix : préciser le contenu exact, les limites, les preuves et les conséquences pratiques.</w:t>
      </w:r>
    </w:p>
    <w:p>
      <w:pPr>
        <w:pStyle w:val="ListBullet"/>
      </w:pPr>
      <w:r>
        <w:t>Résiliation : préciser le contenu exact, les limites, les preuves et les conséquences pratiques.</w:t>
      </w:r>
    </w:p>
    <w:p>
      <w:pPr>
        <w:pStyle w:val="ListBullet"/>
      </w:pPr>
      <w:r>
        <w:t>Responsabilité : préciser le contenu exact, les limites, les preuves et les conséquences pratiques.</w:t>
      </w:r>
    </w:p>
    <w:p>
      <w:pPr>
        <w:pStyle w:val="ListBullet"/>
      </w:pPr>
      <w:r>
        <w:t>Client et prestataire : ne pas laisser vide ; indiquer “sans objet” si le point ne concerne pas le dossier.</w:t>
      </w:r>
    </w:p>
    <w:p>
      <w:pPr>
        <w:pStyle w:val="ListBullet"/>
      </w:pPr>
      <w:r>
        <w:t>Objet de la mission : ne pas laisser vide ; indiquer “sans objet” si le point ne concerne pas le dossier.</w:t>
      </w:r>
    </w:p>
    <w:p>
      <w:pPr>
        <w:pStyle w:val="ListBullet"/>
      </w:pPr>
      <w:r>
        <w:t>Livrables attendus : ne pas laisser vide ; indiquer “sans objet” si le point ne concerne pas le dossier.</w:t>
      </w:r>
    </w:p>
    <w:p>
      <w:pPr>
        <w:pStyle w:val="ListBullet"/>
      </w:pPr>
      <w:r>
        <w:t>Planning et jalons : ne pas laisser vide ; indiquer “sans objet” si le point ne concerne pas le dossier.</w:t>
      </w:r>
    </w:p>
    <w:p>
      <w:pPr>
        <w:pStyle w:val="ListBullet"/>
      </w:pPr>
      <w:r>
        <w:t>Prix et paiement : ne pas laisser vide ; indiquer “sans objet” si le point ne concerne pas le dossier.</w:t>
      </w:r>
    </w:p>
    <w:p>
      <w:pPr>
        <w:pStyle w:val="ListBullet"/>
      </w:pPr>
      <w:r>
        <w:t>Confidentialité : ne pas laisser vide ; indiquer “sans objet” si le point ne concerne pas le dossier.</w:t>
      </w:r>
    </w:p>
    <w:p>
      <w:pPr>
        <w:pStyle w:val="ListBullet"/>
      </w:pPr>
      <w:r>
        <w:t>Propriété intellectuelle : ne pas laisser vide ; indiquer “sans objet” si le point ne concerne pas le dossier.</w:t>
      </w:r>
    </w:p>
    <w:p>
      <w:pPr>
        <w:pStyle w:val="ListBullet"/>
      </w:pPr>
      <w:r>
        <w:t>Responsabilité : ne pas laisser vide ; indiquer “sans objet” si le point ne concerne pas le dossier.</w:t>
      </w:r>
    </w:p>
    <w:p>
      <w:pPr>
        <w:pStyle w:val="ListBullet"/>
      </w:pPr>
      <w:r>
        <w:t>Résiliation : ne pas laisser vide ; indiquer “sans objet” si le point ne concerne pas le dossier.</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3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4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5 — Mission, livrables, recette et validation</w:t>
      </w:r>
    </w:p>
    <w:p>
      <w:r>
        <w:rPr>
          <w:b w:val="0"/>
          <w:i w:val="0"/>
        </w:rPr>
        <w:t>Les livrables attendus sont : [LIVRABLES]. Les exclusions sont : [EXCLUSIONS].</w:t>
      </w:r>
    </w:p>
    <w:p>
      <w:r>
        <w:rPr>
          <w:b w:val="0"/>
          <w:i w:val="0"/>
        </w:rPr>
        <w:t>Prévoir un calendrier, des jalons, un interlocuteur responsable, des critères de recette, un délai de correction et une procédure de validation écrite.</w:t>
      </w:r>
    </w:p>
    <w:p>
      <w:pPr>
        <w:pStyle w:val="ListBullet"/>
      </w:pPr>
      <w:r>
        <w:t>Pour les prestations numériques, préciser les accès, fichiers sources, hébergement, sécurité, données personnelles, sauvegardes et réversibilité.</w:t>
      </w:r>
    </w:p>
    <w:p>
      <w:pPr>
        <w:pStyle w:val="Heading2"/>
      </w:pPr>
      <w:r>
        <w:rPr>
          <w:b w:val="0"/>
          <w:i w:val="0"/>
        </w:rPr>
        <w:t>Article 6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7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8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9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cession de droits d’auteur gratuit — simple</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