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cahier des charges gratuit</w:t>
      </w:r>
    </w:p>
    <w:p>
      <w:r>
        <w:rPr>
          <w:b/>
          <w:i w:val="0"/>
          <w:color w:val="0B2D57"/>
        </w:rPr>
        <w:t>Version simple — France — fichier modifiable gratuit</w:t>
      </w:r>
    </w:p>
    <w:p>
      <w:r>
        <w:rPr>
          <w:b w:val="0"/>
          <w:i/>
        </w:rPr>
        <w:t>Décrire les besoins, contraintes et livrables attendus avant un contrat de prestation.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Cahier des charges</w:t>
            </w:r>
          </w:p>
        </w:tc>
      </w:tr>
      <w:tr>
        <w:tc>
          <w:tcPr>
            <w:tcW w:type="dxa" w:w="5112"/>
            <w:vAlign w:val="center"/>
            <w:shd w:fill="EEF4FF"/>
          </w:tcPr>
          <w:p>
            <w:r>
              <w:t>Utilisation prévue</w:t>
            </w:r>
          </w:p>
        </w:tc>
        <w:tc>
          <w:tcPr>
            <w:tcW w:type="dxa" w:w="5112"/>
            <w:vAlign w:val="center"/>
          </w:tcPr>
          <w:p>
            <w:r>
              <w:t>À utiliser pour cadrer le périmètre fonctionnel, technique, planning, critères d’acceptation et responsabilités.</w:t>
            </w:r>
          </w:p>
        </w:tc>
      </w:tr>
      <w:tr>
        <w:tc>
          <w:tcPr>
            <w:tcW w:type="dxa" w:w="5112"/>
            <w:vAlign w:val="center"/>
            <w:shd w:fill="EEF4FF"/>
          </w:tcPr>
          <w:p>
            <w:r>
              <w:t>À éviter</w:t>
            </w:r>
          </w:p>
        </w:tc>
        <w:tc>
          <w:tcPr>
            <w:tcW w:type="dxa" w:w="5112"/>
            <w:vAlign w:val="center"/>
          </w:tcPr>
          <w:p>
            <w:r>
              <w:t>À éviter s’il remplace le contrat : il doit être relié à des conditions juridiques et commerciales.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Cahier des charges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Acceptation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Délai d’exécution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Contexte : ne pas laisser vide ; indiquer “sans objet” si le point ne concerne pas le dossier.</w:t>
      </w:r>
    </w:p>
    <w:p>
      <w:pPr>
        <w:pStyle w:val="ListBullet"/>
      </w:pPr>
      <w:r>
        <w:t>Objectifs : ne pas laisser vide ; indiquer “sans objet” si le point ne concerne pas le dossier.</w:t>
      </w:r>
    </w:p>
    <w:p>
      <w:pPr>
        <w:pStyle w:val="ListBullet"/>
      </w:pPr>
      <w:r>
        <w:t>Périmètre : ne pas laisser vide ; indiquer “sans objet” si le point ne concerne pas le dossier.</w:t>
      </w:r>
    </w:p>
    <w:p>
      <w:pPr>
        <w:pStyle w:val="ListBullet"/>
      </w:pPr>
      <w:r>
        <w:t>Livrables : ne pas laisser vide ; indiquer “sans objet” si le point ne concerne pas le dossier.</w:t>
      </w:r>
    </w:p>
    <w:p>
      <w:pPr>
        <w:pStyle w:val="ListBullet"/>
      </w:pPr>
      <w:r>
        <w:t>Contraintes : ne pas laisser vide ; indiquer “sans objet” si le point ne concerne pas le dossier.</w:t>
      </w:r>
    </w:p>
    <w:p>
      <w:pPr>
        <w:pStyle w:val="ListBullet"/>
      </w:pPr>
      <w:r>
        <w:t>Planning : ne pas laisser vide ; indiquer “sans objet” si le point ne concerne pas le dossier.</w:t>
      </w:r>
    </w:p>
    <w:p>
      <w:pPr>
        <w:pStyle w:val="ListBullet"/>
      </w:pPr>
      <w:r>
        <w:t>Critères de validation : ne pas laisser vide ; indiquer “sans objet” si le point ne concerne pas le dossier.</w:t>
      </w:r>
    </w:p>
    <w:p>
      <w:pPr>
        <w:pStyle w:val="ListBullet"/>
      </w:pPr>
      <w:r>
        <w:t>Interlocuteurs : ne pas laisser vide ; indiquer “sans objet” si le point ne concerne pas le dossier.</w:t>
      </w:r>
    </w:p>
    <w:p>
      <w:pPr>
        <w:pStyle w:val="ListBullet"/>
      </w:pPr>
      <w:r>
        <w:t>Annexes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cahier des charges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