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bon de commande gratuit</w:t>
      </w:r>
    </w:p>
    <w:p>
      <w:r>
        <w:rPr>
          <w:b/>
          <w:i w:val="0"/>
          <w:color w:val="0B2D57"/>
        </w:rPr>
        <w:t>Version simple — France — fichier modifiable gratuit</w:t>
      </w:r>
    </w:p>
    <w:p>
      <w:r>
        <w:rPr>
          <w:b w:val="0"/>
          <w:i/>
        </w:rPr>
        <w:t>Formaliser une commande de produits ou services avec prix, quantités et conditions essentielles.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Bon de commande</w:t>
            </w:r>
          </w:p>
        </w:tc>
      </w:tr>
      <w:tr>
        <w:tc>
          <w:tcPr>
            <w:tcW w:type="dxa" w:w="5112"/>
            <w:vAlign w:val="center"/>
            <w:shd w:fill="EEF4FF"/>
          </w:tcPr>
          <w:p>
            <w:r>
              <w:t>Utilisation prévue</w:t>
            </w:r>
          </w:p>
        </w:tc>
        <w:tc>
          <w:tcPr>
            <w:tcW w:type="dxa" w:w="5112"/>
            <w:vAlign w:val="center"/>
          </w:tcPr>
          <w:p>
            <w:r>
              <w:t>À utiliser pour confirmer une commande lorsque les conditions sont simples et reliées aux CGV ou à un devis.</w:t>
            </w:r>
          </w:p>
        </w:tc>
      </w:tr>
      <w:tr>
        <w:tc>
          <w:tcPr>
            <w:tcW w:type="dxa" w:w="5112"/>
            <w:vAlign w:val="center"/>
            <w:shd w:fill="EEF4FF"/>
          </w:tcPr>
          <w:p>
            <w:r>
              <w:t>À éviter</w:t>
            </w:r>
          </w:p>
        </w:tc>
        <w:tc>
          <w:tcPr>
            <w:tcW w:type="dxa" w:w="5112"/>
            <w:vAlign w:val="center"/>
          </w:tcPr>
          <w:p>
            <w:r>
              <w:t>À éviter si le projet nécessite un contrat détaillé, un cahier des charges ou des responsabilités spécifiques.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Bon de commande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Livraison : préciser le contenu exact, les limites, les preuves et les conséquences pratiques.</w:t>
      </w:r>
    </w:p>
    <w:p>
      <w:pPr>
        <w:pStyle w:val="ListBullet"/>
      </w:pPr>
      <w:r>
        <w:t>Acceptation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 ne pas laisser vide ; indiquer “sans objet” si le point ne concerne pas le dossier.</w:t>
      </w:r>
    </w:p>
    <w:p>
      <w:pPr>
        <w:pStyle w:val="ListBullet"/>
      </w:pPr>
      <w:r>
        <w:t>Fournisseur : ne pas laisser vide ; indiquer “sans objet” si le point ne concerne pas le dossier.</w:t>
      </w:r>
    </w:p>
    <w:p>
      <w:pPr>
        <w:pStyle w:val="ListBullet"/>
      </w:pPr>
      <w:r>
        <w:t>Références : ne pas laisser vide ; indiquer “sans objet” si le point ne concerne pas le dossier.</w:t>
      </w:r>
    </w:p>
    <w:p>
      <w:pPr>
        <w:pStyle w:val="ListBullet"/>
      </w:pPr>
      <w:r>
        <w:t>Quantités : ne pas laisser vide ; indiquer “sans objet” si le point ne concerne pas le dossier.</w:t>
      </w:r>
    </w:p>
    <w:p>
      <w:pPr>
        <w:pStyle w:val="ListBullet"/>
      </w:pPr>
      <w:r>
        <w:t>Prix : ne pas laisser vide ; indiquer “sans objet” si le point ne concerne pas le dossier.</w:t>
      </w:r>
    </w:p>
    <w:p>
      <w:pPr>
        <w:pStyle w:val="ListBullet"/>
      </w:pPr>
      <w:r>
        <w:t>Délais : ne pas laisser vide ; indiquer “sans objet” si le point ne concerne pas le dossier.</w:t>
      </w:r>
    </w:p>
    <w:p>
      <w:pPr>
        <w:pStyle w:val="ListBullet"/>
      </w:pPr>
      <w:r>
        <w:t>Livraison : ne pas laisser vide ; indiquer “sans objet” si le point ne concerne pas le dossier.</w:t>
      </w:r>
    </w:p>
    <w:p>
      <w:pPr>
        <w:pStyle w:val="ListBullet"/>
      </w:pPr>
      <w:r>
        <w:t>Conditions de paiement : ne pas laisser vide ; indiquer “sans objet” si le point ne concerne pas le dossier.</w:t>
      </w:r>
    </w:p>
    <w:p>
      <w:pPr>
        <w:pStyle w:val="ListBullet"/>
      </w:pPr>
      <w:r>
        <w:t>Signature ou acceptation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bon de commande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