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avenant au contrat de travail gratuit</w:t>
      </w:r>
    </w:p>
    <w:p>
      <w:r>
        <w:rPr>
          <w:b/>
          <w:i w:val="0"/>
          <w:color w:val="0B2D57"/>
        </w:rPr>
        <w:t>Version simple — France — fichier modifiable gratuit</w:t>
      </w:r>
    </w:p>
    <w:p>
      <w:r>
        <w:rPr>
          <w:b w:val="0"/>
          <w:i/>
        </w:rPr>
        <w:t>Utiliser pour modifier un élément du contrat de travail avec accord des parties.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Avenant au contrat de travail</w:t>
            </w:r>
          </w:p>
        </w:tc>
      </w:tr>
      <w:tr>
        <w:tc>
          <w:tcPr>
            <w:tcW w:type="dxa" w:w="5112"/>
            <w:vAlign w:val="center"/>
            <w:shd w:fill="EEF4FF"/>
          </w:tcPr>
          <w:p>
            <w:r>
              <w:t>Utilisation prévue</w:t>
            </w:r>
          </w:p>
        </w:tc>
        <w:tc>
          <w:tcPr>
            <w:tcW w:type="dxa" w:w="5112"/>
            <w:vAlign w:val="center"/>
          </w:tcPr>
          <w:p>
            <w:r>
              <w:t>Utiliser pour modifier un élément du contrat de travail avec accord des parties.</w:t>
            </w:r>
          </w:p>
        </w:tc>
      </w:tr>
      <w:tr>
        <w:tc>
          <w:tcPr>
            <w:tcW w:type="dxa" w:w="5112"/>
            <w:vAlign w:val="center"/>
            <w:shd w:fill="EEF4FF"/>
          </w:tcPr>
          <w:p>
            <w:r>
              <w:t>À éviter</w:t>
            </w:r>
          </w:p>
        </w:tc>
        <w:tc>
          <w:tcPr>
            <w:tcW w:type="dxa" w:w="5112"/>
            <w:vAlign w:val="center"/>
          </w:tcPr>
          <w:p>
            <w:r>
              <w:t>Ne pas utiliser pour modifier unilatéralement un élément essentiel.</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Avenant au contrat de travail » correspond exactement à la relation de travail envisagée.</w:t>
      </w:r>
    </w:p>
    <w:p>
      <w:pPr>
        <w:pStyle w:val="ListBullet"/>
      </w:pPr>
      <w:r>
        <w:t>Contrôler poste, qualification, convention collective, lieu de travail, temps de travail et rattachement hiérarchique.</w:t>
      </w:r>
    </w:p>
    <w:p>
      <w:pPr>
        <w:pStyle w:val="ListBullet"/>
      </w:pPr>
      <w:r>
        <w:t>Écrire clairement rémunération, primes, avantages, frais, période d’essai, durée et conditions de rupture.</w:t>
      </w:r>
    </w:p>
    <w:p>
      <w:pPr>
        <w:pStyle w:val="ListBullet"/>
      </w:pPr>
      <w:r>
        <w:t>Relire les clauses sensibles : mobilité, exclusivité, confidentialité, non-concurrence, matériel, propriété intellectuelle.</w:t>
      </w:r>
    </w:p>
    <w:p>
      <w:pPr>
        <w:pStyle w:val="Heading1"/>
      </w:pPr>
      <w:r>
        <w:rPr>
          <w:b w:val="0"/>
          <w:i w:val="0"/>
        </w:rPr>
        <w:t>B. Pièges à éviter</w:t>
      </w:r>
    </w:p>
    <w:p>
      <w:pPr>
        <w:pStyle w:val="ListBullet"/>
      </w:pPr>
      <w:r>
        <w:t>Motif de CDD, période d’essai, durée ou renouvellement incohérent ou absent.</w:t>
      </w:r>
    </w:p>
    <w:p>
      <w:pPr>
        <w:pStyle w:val="ListBullet"/>
      </w:pPr>
      <w:r>
        <w:t>Convention collective, classification, lieu ou temps de travail non vérifié.</w:t>
      </w:r>
    </w:p>
    <w:p>
      <w:pPr>
        <w:pStyle w:val="ListBullet"/>
      </w:pPr>
      <w:r>
        <w:t>Rémunération variable, primes, frais ou avantages imprécis.</w:t>
      </w:r>
    </w:p>
    <w:p>
      <w:pPr>
        <w:pStyle w:val="ListBullet"/>
      </w:pPr>
      <w:r>
        <w:t>Clause de non-concurrence, mobilité ou exclusivité copiée sans adaptation.</w:t>
      </w:r>
    </w:p>
    <w:p>
      <w:pPr>
        <w:pStyle w:val="Heading1"/>
      </w:pPr>
      <w:r>
        <w:rPr>
          <w:b w:val="0"/>
          <w:i w:val="0"/>
        </w:rPr>
        <w:t>C. Clauses et informations à adapter</w:t>
      </w:r>
    </w:p>
    <w:p>
      <w:pPr>
        <w:pStyle w:val="ListBullet"/>
      </w:pPr>
      <w:r>
        <w:t>Fonction : préciser le contenu exact, les limites, les preuves et les conséquences pratiques.</w:t>
      </w:r>
    </w:p>
    <w:p>
      <w:pPr>
        <w:pStyle w:val="ListBullet"/>
      </w:pPr>
      <w:r>
        <w:t>Rémunération : préciser le contenu exact, les limites, les preuves et les conséquences pratiques.</w:t>
      </w:r>
    </w:p>
    <w:p>
      <w:pPr>
        <w:pStyle w:val="ListBullet"/>
      </w:pPr>
      <w:r>
        <w:t>Durée du travail : préciser le contenu exact, les limites, les preuves et les conséquences pratiques.</w:t>
      </w:r>
    </w:p>
    <w:p>
      <w:pPr>
        <w:pStyle w:val="ListBullet"/>
      </w:pPr>
      <w:r>
        <w:t>Période d’essai : préciser le contenu exact, les limites, les preuves et les conséquences pratiques.</w:t>
      </w:r>
    </w:p>
    <w:p>
      <w:pPr>
        <w:pStyle w:val="ListBullet"/>
      </w:pPr>
      <w:r>
        <w:t>Lieu de travail : préciser le contenu exact, les limites, les preuves et les conséquences pratiques.</w:t>
      </w:r>
    </w:p>
    <w:p>
      <w:pPr>
        <w:pStyle w:val="ListBullet"/>
      </w:pPr>
      <w:r>
        <w:t>Employeur et salarié : ne pas laisser vide ; indiquer “sans objet” si le point ne concerne pas le dossier.</w:t>
      </w:r>
    </w:p>
    <w:p>
      <w:pPr>
        <w:pStyle w:val="ListBullet"/>
      </w:pPr>
      <w:r>
        <w:t>Fonction et qualification : ne pas laisser vide ; indiquer “sans objet” si le point ne concerne pas le dossier.</w:t>
      </w:r>
    </w:p>
    <w:p>
      <w:pPr>
        <w:pStyle w:val="ListBullet"/>
      </w:pPr>
      <w:r>
        <w:t>Lieu de travail : ne pas laisser vide ; indiquer “sans objet” si le point ne concerne pas le dossier.</w:t>
      </w:r>
    </w:p>
    <w:p>
      <w:pPr>
        <w:pStyle w:val="ListBullet"/>
      </w:pPr>
      <w:r>
        <w:t>Durée du travail : ne pas laisser vide ; indiquer “sans objet” si le point ne concerne pas le dossier.</w:t>
      </w:r>
    </w:p>
    <w:p>
      <w:pPr>
        <w:pStyle w:val="ListBullet"/>
      </w:pPr>
      <w:r>
        <w:t>Rémunération : ne pas laisser vide ; indiquer “sans objet” si le point ne concerne pas le dossier.</w:t>
      </w:r>
    </w:p>
    <w:p>
      <w:pPr>
        <w:pStyle w:val="ListBullet"/>
      </w:pPr>
      <w:r>
        <w:t>Période d’essai : ne pas laisser vide ; indiquer “sans objet” si le point ne concerne pas le dossier.</w:t>
      </w:r>
    </w:p>
    <w:p>
      <w:pPr>
        <w:pStyle w:val="ListBullet"/>
      </w:pPr>
      <w:r>
        <w:t>Convention collective si applicable : ne pas laisser vide ; indiquer “sans objet” si le point ne concerne pas le dossier.</w:t>
      </w:r>
    </w:p>
    <w:p>
      <w:pPr>
        <w:pStyle w:val="ListBullet"/>
      </w:pPr>
      <w:r>
        <w:t>Congés et avantages : ne pas laisser vide ; indiquer “sans objet” si le point ne concerne pas le dossier.</w:t>
      </w:r>
    </w:p>
    <w:p>
      <w:pPr>
        <w:pStyle w:val="ListBullet"/>
      </w:pPr>
      <w:r>
        <w:t>Date et 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Fonction, lieu, temps de travail et rémunération</w:t>
      </w:r>
    </w:p>
    <w:p>
      <w:r>
        <w:rPr>
          <w:b w:val="0"/>
          <w:i w:val="0"/>
        </w:rPr>
        <w:t>Le poste, la qualification, la convention collective, le lieu de travail, le temps de travail, la rémunération et les avantages doivent être indiqués précisément.</w:t>
      </w:r>
    </w:p>
    <w:p>
      <w:r>
        <w:rPr>
          <w:b w:val="0"/>
          <w:i w:val="0"/>
        </w:rPr>
        <w:t>Toute clause sensible — période d’essai, mobilité, exclusivité, confidentialité, non-concurrence, matériel, télétravail — doit être adaptée et relue avant signature.</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avenant au contrat de travail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