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d’apporteur d’affaires gratuit</w:t>
      </w:r>
    </w:p>
    <w:p>
      <w:r>
        <w:rPr>
          <w:b/>
          <w:i w:val="0"/>
          <w:color w:val="0B2D57"/>
        </w:rPr>
        <w:t>Version simple — France — fichier modifiable gratuit</w:t>
      </w:r>
    </w:p>
    <w:p>
      <w:r>
        <w:rPr>
          <w:b w:val="0"/>
          <w:i/>
        </w:rPr>
        <w:t>Utiliser pour rémunérer l’introduction de prospects ou d’affaires.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d’apporteur d’affaires</w:t>
            </w:r>
          </w:p>
        </w:tc>
      </w:tr>
      <w:tr>
        <w:tc>
          <w:tcPr>
            <w:tcW w:type="dxa" w:w="5112"/>
            <w:vAlign w:val="center"/>
            <w:shd w:fill="EEF4FF"/>
          </w:tcPr>
          <w:p>
            <w:r>
              <w:t>Utilisation prévue</w:t>
            </w:r>
          </w:p>
        </w:tc>
        <w:tc>
          <w:tcPr>
            <w:tcW w:type="dxa" w:w="5112"/>
            <w:vAlign w:val="center"/>
          </w:tcPr>
          <w:p>
            <w:r>
              <w:t>Utiliser pour rémunérer l’introduction de prospects ou d’affaires.</w:t>
            </w:r>
          </w:p>
        </w:tc>
      </w:tr>
      <w:tr>
        <w:tc>
          <w:tcPr>
            <w:tcW w:type="dxa" w:w="5112"/>
            <w:vAlign w:val="center"/>
            <w:shd w:fill="EEF4FF"/>
          </w:tcPr>
          <w:p>
            <w:r>
              <w:t>À éviter</w:t>
            </w:r>
          </w:p>
        </w:tc>
        <w:tc>
          <w:tcPr>
            <w:tcW w:type="dxa" w:w="5112"/>
            <w:vAlign w:val="center"/>
          </w:tcPr>
          <w:p>
            <w:r>
              <w:t>À éviter si le rôle ressemble à un agent commercial ou si la commission est mal définie.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d’apporteur d’affaires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d’apporteur d’affaires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