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accord de remboursement amiable gratuit</w:t>
      </w:r>
    </w:p>
    <w:p>
      <w:r>
        <w:rPr>
          <w:b/>
          <w:i w:val="0"/>
          <w:color w:val="0B2D57"/>
        </w:rPr>
        <w:t>Version simple — France — fichier modifiable gratuit</w:t>
      </w:r>
    </w:p>
    <w:p>
      <w:r>
        <w:rPr>
          <w:b w:val="0"/>
          <w:i/>
        </w:rPr>
        <w:t>Constater un accord amiable sur le remboursement d’une somme.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Accord de remboursement amiable</w:t>
            </w:r>
          </w:p>
        </w:tc>
      </w:tr>
      <w:tr>
        <w:tc>
          <w:tcPr>
            <w:tcW w:type="dxa" w:w="5112"/>
            <w:vAlign w:val="center"/>
            <w:shd w:fill="EEF4FF"/>
          </w:tcPr>
          <w:p>
            <w:r>
              <w:t>Utilisation prévue</w:t>
            </w:r>
          </w:p>
        </w:tc>
        <w:tc>
          <w:tcPr>
            <w:tcW w:type="dxa" w:w="5112"/>
            <w:vAlign w:val="center"/>
          </w:tcPr>
          <w:p>
            <w:r>
              <w:t>À utiliser pour organiser un remboursement sans reconnaissance excessive ni ambiguïté sur les montants.</w:t>
            </w:r>
          </w:p>
        </w:tc>
      </w:tr>
      <w:tr>
        <w:tc>
          <w:tcPr>
            <w:tcW w:type="dxa" w:w="5112"/>
            <w:vAlign w:val="center"/>
            <w:shd w:fill="EEF4FF"/>
          </w:tcPr>
          <w:p>
            <w:r>
              <w:t>À éviter</w:t>
            </w:r>
          </w:p>
        </w:tc>
        <w:tc>
          <w:tcPr>
            <w:tcW w:type="dxa" w:w="5112"/>
            <w:vAlign w:val="center"/>
          </w:tcPr>
          <w:p>
            <w:r>
              <w:t>À éviter lorsque la dette, la prescription ou l’identité du débiteur est contestée.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Accord de remboursement amiable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Preuve : préciser le contenu exact, les limites, les preuves et les conséquences pratiques.</w:t>
      </w:r>
    </w:p>
    <w:p>
      <w:pPr>
        <w:pStyle w:val="ListBullet"/>
      </w:pPr>
      <w:r>
        <w:t>Litiges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Parties : ne pas laisser vide ; indiquer “sans objet” si le point ne concerne pas le dossier.</w:t>
      </w:r>
    </w:p>
    <w:p>
      <w:pPr>
        <w:pStyle w:val="ListBullet"/>
      </w:pPr>
      <w:r>
        <w:t>Origine de la dette : ne pas laisser vide ; indiquer “sans objet” si le point ne concerne pas le dossier.</w:t>
      </w:r>
    </w:p>
    <w:p>
      <w:pPr>
        <w:pStyle w:val="ListBullet"/>
      </w:pPr>
      <w:r>
        <w:t>Montant : ne pas laisser vide ; indiquer “sans objet” si le point ne concerne pas le dossier.</w:t>
      </w:r>
    </w:p>
    <w:p>
      <w:pPr>
        <w:pStyle w:val="ListBullet"/>
      </w:pPr>
      <w:r>
        <w:t>Modalités : ne pas laisser vide ; indiquer “sans objet” si le point ne concerne pas le dossier.</w:t>
      </w:r>
    </w:p>
    <w:p>
      <w:pPr>
        <w:pStyle w:val="ListBullet"/>
      </w:pPr>
      <w:r>
        <w:t>Dates : ne pas laisser vide ; indiquer “sans objet” si le point ne concerne pas le dossier.</w:t>
      </w:r>
    </w:p>
    <w:p>
      <w:pPr>
        <w:pStyle w:val="ListBullet"/>
      </w:pPr>
      <w:r>
        <w:t>Moyens de paiement : ne pas laisser vide ; indiquer “sans objet” si le point ne concerne pas le dossier.</w:t>
      </w:r>
    </w:p>
    <w:p>
      <w:pPr>
        <w:pStyle w:val="ListBullet"/>
      </w:pPr>
      <w:r>
        <w:t>Retard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accord de remboursement amiable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