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vente de véhicule gratuit</w:t>
      </w:r>
    </w:p>
    <w:p>
      <w:r>
        <w:rPr>
          <w:b/>
          <w:i w:val="0"/>
          <w:color w:val="0B2D57"/>
        </w:rPr>
        <w:t>Version complète — France — clauses renforcées et annexes à adapter</w:t>
      </w:r>
    </w:p>
    <w:p>
      <w:r>
        <w:rPr>
          <w:b w:val="0"/>
          <w:i/>
        </w:rPr>
        <w:t>Utiliser pour formaliser la vente d’une voiture, moto ou utilitaire entre particuliers.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vente de véhicule</w:t>
            </w:r>
          </w:p>
        </w:tc>
      </w:tr>
      <w:tr>
        <w:tc>
          <w:tcPr>
            <w:tcW w:type="dxa" w:w="5112"/>
            <w:vAlign w:val="center"/>
            <w:shd w:fill="EEF4FF"/>
          </w:tcPr>
          <w:p>
            <w:r>
              <w:t>Utilisation prévue</w:t>
            </w:r>
          </w:p>
        </w:tc>
        <w:tc>
          <w:tcPr>
            <w:tcW w:type="dxa" w:w="5112"/>
            <w:vAlign w:val="center"/>
          </w:tcPr>
          <w:p>
            <w:r>
              <w:t>Utiliser pour formaliser la vente d’une voiture, moto ou utilitaire entre particuliers.</w:t>
            </w:r>
          </w:p>
        </w:tc>
      </w:tr>
      <w:tr>
        <w:tc>
          <w:tcPr>
            <w:tcW w:type="dxa" w:w="5112"/>
            <w:vAlign w:val="center"/>
            <w:shd w:fill="EEF4FF"/>
          </w:tcPr>
          <w:p>
            <w:r>
              <w:t>À éviter</w:t>
            </w:r>
          </w:p>
        </w:tc>
        <w:tc>
          <w:tcPr>
            <w:tcW w:type="dxa" w:w="5112"/>
            <w:vAlign w:val="center"/>
          </w:tcPr>
          <w:p>
            <w:r>
              <w:t>Ne remplace pas les formalités administratives obligatoires de cession.</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Identifier précisément les parties et l’objet de « Contrat de vente de véhicule ».</w:t>
      </w:r>
    </w:p>
    <w:p>
      <w:pPr>
        <w:pStyle w:val="ListBullet"/>
      </w:pPr>
      <w:r>
        <w:t>Écrire les montants, dates, délais, obligations, preuves et annexes sans zones floues.</w:t>
      </w:r>
    </w:p>
    <w:p>
      <w:pPr>
        <w:pStyle w:val="ListBullet"/>
      </w:pPr>
      <w:r>
        <w:t>Prévoir les conditions de modification, fin, restitution, notification et signature.</w:t>
      </w:r>
    </w:p>
    <w:p>
      <w:pPr>
        <w:pStyle w:val="ListBullet"/>
      </w:pPr>
      <w:r>
        <w:t>Adapter le modèle aux faits réels et aux règles applicables avant usage.</w:t>
      </w:r>
    </w:p>
    <w:p>
      <w:pPr>
        <w:pStyle w:val="Heading1"/>
      </w:pPr>
      <w:r>
        <w:rPr>
          <w:b w:val="0"/>
          <w:i w:val="0"/>
        </w:rPr>
        <w:t>B. Pièges à éviter</w:t>
      </w:r>
    </w:p>
    <w:p>
      <w:pPr>
        <w:pStyle w:val="ListBullet"/>
      </w:pPr>
      <w:r>
        <w:t>Parties mal identifiées ou pouvoir de signature incertain.</w:t>
      </w:r>
    </w:p>
    <w:p>
      <w:pPr>
        <w:pStyle w:val="ListBullet"/>
      </w:pPr>
      <w:r>
        <w:t>Objet, montant, durée ou preuve insuffisamment précis.</w:t>
      </w:r>
    </w:p>
    <w:p>
      <w:pPr>
        <w:pStyle w:val="ListBullet"/>
      </w:pPr>
      <w:r>
        <w:t>Clauses contradictoires ou copiées d’un autre contexte.</w:t>
      </w:r>
    </w:p>
    <w:p>
      <w:pPr>
        <w:pStyle w:val="ListBullet"/>
      </w:pPr>
      <w:r>
        <w:t>Absence de sortie, notification, annexes ou exemplaires signés.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document : ne pas laisser vide ; indiquer “sans objet” si le point ne concerne pas le dossier.</w:t>
      </w:r>
    </w:p>
    <w:p>
      <w:pPr>
        <w:pStyle w:val="ListBullet"/>
      </w:pPr>
      <w:r>
        <w:t>Durée ou date d’effet : ne pas laisser vide ; indiquer “sans objet” si le point ne concerne pas le dossier.</w:t>
      </w:r>
    </w:p>
    <w:p>
      <w:pPr>
        <w:pStyle w:val="ListBullet"/>
      </w:pPr>
      <w:r>
        <w:t>Prix, montant ou contrepartie : ne pas laisser vide ; indiquer “sans objet” si le point ne concerne pas le dossier.</w:t>
      </w:r>
    </w:p>
    <w:p>
      <w:pPr>
        <w:pStyle w:val="ListBullet"/>
      </w:pPr>
      <w:r>
        <w:t>Modalités d’exécution : ne pas laisser vide ; indiquer “sans objet” si le point ne concerne pas le dossier.</w:t>
      </w:r>
    </w:p>
    <w:p>
      <w:pPr>
        <w:pStyle w:val="ListBullet"/>
      </w:pPr>
      <w:r>
        <w:t>Responsabilités principales : ne pas laisser vide ; indiquer “sans objet” si le point ne concerne pas le dossier.</w:t>
      </w:r>
    </w:p>
    <w:p>
      <w:pPr>
        <w:pStyle w:val="ListBullet"/>
      </w:pPr>
      <w:r>
        <w:t>Conditions de modification : ne pas laisser vide ; indiquer “sans objet” si le point ne concerne pas le dossier.</w:t>
      </w:r>
    </w:p>
    <w:p>
      <w:pPr>
        <w:pStyle w:val="ListBullet"/>
      </w:pPr>
      <w:r>
        <w:t>Résiliation ou fin du document : ne pas laisser vide ; indiquer “sans objet” si le point ne concerne pas le dossier.</w:t>
      </w:r>
    </w:p>
    <w:p>
      <w:pPr>
        <w:pStyle w:val="ListBullet"/>
      </w:pPr>
      <w:r>
        <w:t>Date et signature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vente de véhicule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Bien, service, livraison et garanties</w:t>
      </w:r>
    </w:p>
    <w:p>
      <w:r>
        <w:rPr>
          <w:b w:val="0"/>
          <w:i w:val="0"/>
        </w:rPr>
        <w:t>Décrire l’objet vendu ou le service demandé, son état, les accessoires, le prix, la livraison, le transfert, les défauts connus et les preuves remises.</w:t>
      </w:r>
    </w:p>
    <w:p>
      <w:r>
        <w:rPr>
          <w:b w:val="0"/>
          <w:i w:val="0"/>
        </w:rPr>
        <w:t>Vérifier les règles de rétractation, garantie, médiation, remboursement ou réclamation selon la situation.</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vente de véhicule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