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meuble entre particuliers gratuit</w:t>
      </w:r>
    </w:p>
    <w:p>
      <w:r>
        <w:rPr>
          <w:b/>
          <w:i w:val="0"/>
          <w:color w:val="0B2D57"/>
        </w:rPr>
        <w:t>Version complète — France — clauses renforcées et annexes à adapter</w:t>
      </w:r>
    </w:p>
    <w:p>
      <w:r>
        <w:rPr>
          <w:b w:val="0"/>
          <w:i/>
        </w:rPr>
        <w:t>Utiliser pour vendre un meuble entre particuliers avec description et prix.</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meuble entre particuliers</w:t>
            </w:r>
          </w:p>
        </w:tc>
      </w:tr>
      <w:tr>
        <w:tc>
          <w:tcPr>
            <w:tcW w:type="dxa" w:w="5112"/>
            <w:vAlign w:val="center"/>
            <w:shd w:fill="EEF4FF"/>
          </w:tcPr>
          <w:p>
            <w:r>
              <w:t>Utilisation prévue</w:t>
            </w:r>
          </w:p>
        </w:tc>
        <w:tc>
          <w:tcPr>
            <w:tcW w:type="dxa" w:w="5112"/>
            <w:vAlign w:val="center"/>
          </w:tcPr>
          <w:p>
            <w:r>
              <w:t>Utiliser pour vendre un meuble entre particuliers avec description et prix.</w:t>
            </w:r>
          </w:p>
        </w:tc>
      </w:tr>
      <w:tr>
        <w:tc>
          <w:tcPr>
            <w:tcW w:type="dxa" w:w="5112"/>
            <w:vAlign w:val="center"/>
            <w:shd w:fill="EEF4FF"/>
          </w:tcPr>
          <w:p>
            <w:r>
              <w:t>À éviter</w:t>
            </w:r>
          </w:p>
        </w:tc>
        <w:tc>
          <w:tcPr>
            <w:tcW w:type="dxa" w:w="5112"/>
            <w:vAlign w:val="center"/>
          </w:tcPr>
          <w:p>
            <w:r>
              <w:t>Ne pas utiliser si une réglementation sectorielle impose un formulaire, une information précontractuelle ou un délai spécifique.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meuble entre particuliers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Prix : préciser le contenu exact, les limites, les preuves et les conséquences pratiques.</w:t>
      </w:r>
    </w:p>
    <w:p>
      <w:pPr>
        <w:pStyle w:val="ListBullet"/>
      </w:pPr>
      <w:r>
        <w:t>Livraison : préciser le contenu exact, les limites, les preuves et les conséquences pratiques.</w:t>
      </w:r>
    </w:p>
    <w:p>
      <w:pPr>
        <w:pStyle w:val="ListBullet"/>
      </w:pPr>
      <w:r>
        <w:t>Garantie : préciser le contenu exact, les limites, les preuves et les conséquences pratiques.</w:t>
      </w:r>
    </w:p>
    <w:p>
      <w:pPr>
        <w:pStyle w:val="ListBullet"/>
      </w:pPr>
      <w:r>
        <w:t>Rétractation : préciser le contenu exact, les limites, les preuves et les conséquences pratiques.</w:t>
      </w:r>
    </w:p>
    <w:p>
      <w:pPr>
        <w:pStyle w:val="ListBullet"/>
      </w:pPr>
      <w:r>
        <w:t>Réclamation : préciser le contenu exact, les limites, les preuves et les conséquences pratiques.</w:t>
      </w:r>
    </w:p>
    <w:p>
      <w:pPr>
        <w:pStyle w:val="ListBullet"/>
      </w:pPr>
      <w:r>
        <w:t>Médiation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du vendeur et de l’acheteur : ne pas laisser vide ; indiquer “sans objet” si le point ne concerne pas le dossier.</w:t>
      </w:r>
    </w:p>
    <w:p>
      <w:pPr>
        <w:pStyle w:val="ListBullet"/>
      </w:pPr>
      <w:r>
        <w:t>Description du bien ou du service : ne pas laisser vide ; indiquer “sans objet” si le point ne concerne pas le dossier.</w:t>
      </w:r>
    </w:p>
    <w:p>
      <w:pPr>
        <w:pStyle w:val="ListBullet"/>
      </w:pPr>
      <w:r>
        <w:t>Prix total, frais et modalités de paiement : ne pas laisser vide ; indiquer “sans objet” si le point ne concerne pas le dossier.</w:t>
      </w:r>
    </w:p>
    <w:p>
      <w:pPr>
        <w:pStyle w:val="ListBullet"/>
      </w:pPr>
      <w:r>
        <w:t>Date de livraison ou d’exécution : ne pas laisser vide ; indiquer “sans objet” si le point ne concerne pas le dossier.</w:t>
      </w:r>
    </w:p>
    <w:p>
      <w:pPr>
        <w:pStyle w:val="ListBullet"/>
      </w:pPr>
      <w:r>
        <w:t>Garantie, réclamation et service après-vente : ne pas laisser vide ; indiquer “sans objet” si le point ne concerne pas le dossier.</w:t>
      </w:r>
    </w:p>
    <w:p>
      <w:pPr>
        <w:pStyle w:val="ListBullet"/>
      </w:pPr>
      <w:r>
        <w:t>Rétractation si applicable : ne pas laisser vide ; indiquer “sans objet” si le point ne concerne pas le dossier.</w:t>
      </w:r>
    </w:p>
    <w:p>
      <w:pPr>
        <w:pStyle w:val="ListBullet"/>
      </w:pPr>
      <w:r>
        <w:t>Preuve de commande ou d’accord : ne pas laisser vide ; indiquer “sans objet” si le point ne concerne pas le dossier.</w:t>
      </w:r>
    </w:p>
    <w:p>
      <w:pPr>
        <w:pStyle w:val="ListBullet"/>
      </w:pPr>
      <w:r>
        <w:t>Responsabilité et litiges : ne pas laisser vide ; indiquer “sans objet” si le point ne concerne pas le dossier.</w:t>
      </w:r>
    </w:p>
    <w:p>
      <w:pPr>
        <w:pStyle w:val="ListBullet"/>
      </w:pPr>
      <w:r>
        <w:t>Date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vente de meuble entre particuliers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meuble entre particuliers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