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entre particuliers gratuit</w:t>
      </w:r>
    </w:p>
    <w:p>
      <w:r>
        <w:rPr>
          <w:b/>
          <w:i w:val="0"/>
          <w:color w:val="0B2D57"/>
        </w:rPr>
        <w:t>Version complète — France — clauses renforcées et annexes à adapter</w:t>
      </w:r>
    </w:p>
    <w:p>
      <w:r>
        <w:rPr>
          <w:b w:val="0"/>
          <w:i/>
        </w:rPr>
        <w:t>Utiliser pour vendre un bien d’occasion avec description, prix et remise.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entre particuliers</w:t>
            </w:r>
          </w:p>
        </w:tc>
      </w:tr>
      <w:tr>
        <w:tc>
          <w:tcPr>
            <w:tcW w:type="dxa" w:w="5112"/>
            <w:vAlign w:val="center"/>
            <w:shd w:fill="EEF4FF"/>
          </w:tcPr>
          <w:p>
            <w:r>
              <w:t>Utilisation prévue</w:t>
            </w:r>
          </w:p>
        </w:tc>
        <w:tc>
          <w:tcPr>
            <w:tcW w:type="dxa" w:w="5112"/>
            <w:vAlign w:val="center"/>
          </w:tcPr>
          <w:p>
            <w:r>
              <w:t>Utiliser pour vendre un bien d’occasion avec description, prix et remise.</w:t>
            </w:r>
          </w:p>
        </w:tc>
      </w:tr>
      <w:tr>
        <w:tc>
          <w:tcPr>
            <w:tcW w:type="dxa" w:w="5112"/>
            <w:vAlign w:val="center"/>
            <w:shd w:fill="EEF4FF"/>
          </w:tcPr>
          <w:p>
            <w:r>
              <w:t>À éviter</w:t>
            </w:r>
          </w:p>
        </w:tc>
        <w:tc>
          <w:tcPr>
            <w:tcW w:type="dxa" w:w="5112"/>
            <w:vAlign w:val="center"/>
          </w:tcPr>
          <w:p>
            <w:r>
              <w:t>À éviter pour une vente professionnelle ou réglementée.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entre particuliers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vente entre particuliers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entre particuliers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