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reconnaissance de dette gratuit</w:t>
      </w:r>
    </w:p>
    <w:p>
      <w:r>
        <w:rPr>
          <w:b/>
          <w:i w:val="0"/>
          <w:color w:val="0B2D57"/>
        </w:rPr>
        <w:t>Version complète — France — clauses renforcées et annexes à adapter</w:t>
      </w:r>
    </w:p>
    <w:p>
      <w:r>
        <w:rPr>
          <w:b w:val="0"/>
          <w:i/>
        </w:rPr>
        <w:t>Utiliser pour prouver qu’une personne reconnaît devoir une somme à une autre.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Reconnaissance de dette</w:t>
            </w:r>
          </w:p>
        </w:tc>
      </w:tr>
      <w:tr>
        <w:tc>
          <w:tcPr>
            <w:tcW w:type="dxa" w:w="5112"/>
            <w:vAlign w:val="center"/>
            <w:shd w:fill="EEF4FF"/>
          </w:tcPr>
          <w:p>
            <w:r>
              <w:t>Utilisation prévue</w:t>
            </w:r>
          </w:p>
        </w:tc>
        <w:tc>
          <w:tcPr>
            <w:tcW w:type="dxa" w:w="5112"/>
            <w:vAlign w:val="center"/>
          </w:tcPr>
          <w:p>
            <w:r>
              <w:t>Utiliser pour prouver qu’une personne reconnaît devoir une somme à une autre.</w:t>
            </w:r>
          </w:p>
        </w:tc>
      </w:tr>
      <w:tr>
        <w:tc>
          <w:tcPr>
            <w:tcW w:type="dxa" w:w="5112"/>
            <w:vAlign w:val="center"/>
            <w:shd w:fill="EEF4FF"/>
          </w:tcPr>
          <w:p>
            <w:r>
              <w:t>À éviter</w:t>
            </w:r>
          </w:p>
        </w:tc>
        <w:tc>
          <w:tcPr>
            <w:tcW w:type="dxa" w:w="5112"/>
            <w:vAlign w:val="center"/>
          </w:tcPr>
          <w:p>
            <w:r>
              <w:t>À éviter si le montant, les modalités de remboursement ou l’identité des parties ne sont pas clairs.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Reconnaissance de dette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Créancier et débiteur : ne pas laisser vide ; indiquer “sans objet” si le point ne concerne pas le dossier.</w:t>
      </w:r>
    </w:p>
    <w:p>
      <w:pPr>
        <w:pStyle w:val="ListBullet"/>
      </w:pPr>
      <w:r>
        <w:t>Montant exact : ne pas laisser vide ; indiquer “sans objet” si le point ne concerne pas le dossier.</w:t>
      </w:r>
    </w:p>
    <w:p>
      <w:pPr>
        <w:pStyle w:val="ListBullet"/>
      </w:pPr>
      <w:r>
        <w:t>Date de remise des fonds : ne pas laisser vide ; indiquer “sans objet” si le point ne concerne pas le dossier.</w:t>
      </w:r>
    </w:p>
    <w:p>
      <w:pPr>
        <w:pStyle w:val="ListBullet"/>
      </w:pPr>
      <w:r>
        <w:t>Échéancier : ne pas laisser vide ; indiquer “sans objet” si le point ne concerne pas le dossier.</w:t>
      </w:r>
    </w:p>
    <w:p>
      <w:pPr>
        <w:pStyle w:val="ListBullet"/>
      </w:pPr>
      <w:r>
        <w:t>Taux ou absence d’intérêts : ne pas laisser vide ; indiquer “sans objet” si le point ne concerne pas le dossier.</w:t>
      </w:r>
    </w:p>
    <w:p>
      <w:pPr>
        <w:pStyle w:val="ListBullet"/>
      </w:pPr>
      <w:r>
        <w:t>Mode de paiement : ne pas laisser vide ; indiquer “sans objet” si le point ne concerne pas le dossier.</w:t>
      </w:r>
    </w:p>
    <w:p>
      <w:pPr>
        <w:pStyle w:val="ListBullet"/>
      </w:pPr>
      <w:r>
        <w:t>Retard de paiement : ne pas laisser vide ; indiquer “sans objet” si le point ne concerne pas le dossier.</w:t>
      </w:r>
    </w:p>
    <w:p>
      <w:pPr>
        <w:pStyle w:val="ListBullet"/>
      </w:pPr>
      <w:r>
        <w:t>Preuves annexées : ne pas laisser vide ; indiquer “sans objet” si le point ne concerne pas le dossier.</w:t>
      </w:r>
    </w:p>
    <w:p>
      <w:pPr>
        <w:pStyle w:val="ListBullet"/>
      </w:pPr>
      <w:r>
        <w:t>Signature manuscrite ou électronique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Reconnaissance de dette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reconnaissance de dette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