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procuration simple gratuit</w:t>
      </w:r>
    </w:p>
    <w:p>
      <w:r>
        <w:rPr>
          <w:b/>
          <w:i w:val="0"/>
          <w:color w:val="0B2D57"/>
        </w:rPr>
        <w:t>Version complète — France — clauses renforcées et annexes à adapter</w:t>
      </w:r>
    </w:p>
    <w:p>
      <w:r>
        <w:rPr>
          <w:b w:val="0"/>
          <w:i/>
        </w:rPr>
        <w:t>Utiliser pour autoriser une personne à effectuer une démarche précise à sa place.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Procuration simple</w:t>
            </w:r>
          </w:p>
        </w:tc>
      </w:tr>
      <w:tr>
        <w:tc>
          <w:tcPr>
            <w:tcW w:type="dxa" w:w="5112"/>
            <w:vAlign w:val="center"/>
            <w:shd w:fill="EEF4FF"/>
          </w:tcPr>
          <w:p>
            <w:r>
              <w:t>Utilisation prévue</w:t>
            </w:r>
          </w:p>
        </w:tc>
        <w:tc>
          <w:tcPr>
            <w:tcW w:type="dxa" w:w="5112"/>
            <w:vAlign w:val="center"/>
          </w:tcPr>
          <w:p>
            <w:r>
              <w:t>Utiliser pour autoriser une personne à effectuer une démarche précise à sa place.</w:t>
            </w:r>
          </w:p>
        </w:tc>
      </w:tr>
      <w:tr>
        <w:tc>
          <w:tcPr>
            <w:tcW w:type="dxa" w:w="5112"/>
            <w:vAlign w:val="center"/>
            <w:shd w:fill="EEF4FF"/>
          </w:tcPr>
          <w:p>
            <w:r>
              <w:t>À éviter</w:t>
            </w:r>
          </w:p>
        </w:tc>
        <w:tc>
          <w:tcPr>
            <w:tcW w:type="dxa" w:w="5112"/>
            <w:vAlign w:val="center"/>
          </w:tcPr>
          <w:p>
            <w:r>
              <w:t>À éviter pour des actes graves ou nécessitant une forme particulière.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le destinataire exact et la référence utile avant d’envoyer « Procuration simple ».</w:t>
      </w:r>
    </w:p>
    <w:p>
      <w:pPr>
        <w:pStyle w:val="ListBullet"/>
      </w:pPr>
      <w:r>
        <w:t>Présenter les faits dans l’ordre : dates, contrat, facture, commande, échange, montant, événement déclencheur.</w:t>
      </w:r>
    </w:p>
    <w:p>
      <w:pPr>
        <w:pStyle w:val="ListBullet"/>
      </w:pPr>
      <w:r>
        <w:t>Formuler une demande claire, mesurable et datée : résilier, rembourser, répondre, régulariser, confirmer ou transmettre.</w:t>
      </w:r>
    </w:p>
    <w:p>
      <w:pPr>
        <w:pStyle w:val="ListBullet"/>
      </w:pPr>
      <w:r>
        <w:t>Conserver la preuve du contenu, de l’envoi, de la réception et des pièces jointes.</w:t>
      </w:r>
    </w:p>
    <w:p>
      <w:pPr>
        <w:pStyle w:val="Heading1"/>
      </w:pPr>
      <w:r>
        <w:rPr>
          <w:b w:val="0"/>
          <w:i w:val="0"/>
        </w:rPr>
        <w:t>B. Pièges à éviter</w:t>
      </w:r>
    </w:p>
    <w:p>
      <w:pPr>
        <w:pStyle w:val="ListBullet"/>
      </w:pPr>
      <w:r>
        <w:t>Destinataire imprécis, mauvais service ou référence manquante.</w:t>
      </w:r>
    </w:p>
    <w:p>
      <w:pPr>
        <w:pStyle w:val="ListBullet"/>
      </w:pPr>
      <w:r>
        <w:t>Objet trop vague ou demande dispersée en plusieurs formulations contradictoires.</w:t>
      </w:r>
    </w:p>
    <w:p>
      <w:pPr>
        <w:pStyle w:val="ListBullet"/>
      </w:pPr>
      <w:r>
        <w:t>Dates, montants, contrat ou facture non vérifiables.</w:t>
      </w:r>
    </w:p>
    <w:p>
      <w:pPr>
        <w:pStyle w:val="ListBullet"/>
      </w:pPr>
      <w:r>
        <w:t>Aucune preuve d’envoi, de réception ou des pièces jointes.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document : ne pas laisser vide ; indiquer “sans objet” si le point ne concerne pas le dossier.</w:t>
      </w:r>
    </w:p>
    <w:p>
      <w:pPr>
        <w:pStyle w:val="ListBullet"/>
      </w:pPr>
      <w:r>
        <w:t>Durée ou date d’effet : ne pas laisser vide ; indiquer “sans objet” si le point ne concerne pas le dossier.</w:t>
      </w:r>
    </w:p>
    <w:p>
      <w:pPr>
        <w:pStyle w:val="ListBullet"/>
      </w:pPr>
      <w:r>
        <w:t>Prix, montant ou contrepartie : ne pas laisser vide ; indiquer “sans objet” si le point ne concerne pas le dossier.</w:t>
      </w:r>
    </w:p>
    <w:p>
      <w:pPr>
        <w:pStyle w:val="ListBullet"/>
      </w:pPr>
      <w:r>
        <w:t>Modalités d’exécution : ne pas laisser vide ; indiquer “sans objet” si le point ne concerne pas le dossier.</w:t>
      </w:r>
    </w:p>
    <w:p>
      <w:pPr>
        <w:pStyle w:val="ListBullet"/>
      </w:pPr>
      <w:r>
        <w:t>Responsabilités principales : ne pas laisser vide ; indiquer “sans objet” si le point ne concerne pas le dossier.</w:t>
      </w:r>
    </w:p>
    <w:p>
      <w:pPr>
        <w:pStyle w:val="ListBullet"/>
      </w:pPr>
      <w:r>
        <w:t>Conditions de modification : ne pas laisser vide ; indiquer “sans objet” si le point ne concerne pas le dossier.</w:t>
      </w:r>
    </w:p>
    <w:p>
      <w:pPr>
        <w:pStyle w:val="ListBullet"/>
      </w:pPr>
      <w:r>
        <w:t>Résiliation ou fin du document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Procuration simple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procuration simple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