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prêt de matériel gratuit</w:t>
      </w:r>
    </w:p>
    <w:p>
      <w:r>
        <w:rPr>
          <w:b/>
          <w:i w:val="0"/>
          <w:color w:val="0B2D57"/>
        </w:rPr>
        <w:t>Version complète — France — clauses renforcées et annexes à adapter</w:t>
      </w:r>
    </w:p>
    <w:p>
      <w:r>
        <w:rPr>
          <w:b w:val="0"/>
          <w:i/>
        </w:rPr>
        <w:t>Formaliser le prêt temporaire d’un matériel sans transfert de propriété.</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Prêt de matériel</w:t>
            </w:r>
          </w:p>
        </w:tc>
      </w:tr>
      <w:tr>
        <w:tc>
          <w:tcPr>
            <w:tcW w:type="dxa" w:w="5112"/>
            <w:vAlign w:val="center"/>
            <w:shd w:fill="EEF4FF"/>
          </w:tcPr>
          <w:p>
            <w:r>
              <w:t>Utilisation prévue</w:t>
            </w:r>
          </w:p>
        </w:tc>
        <w:tc>
          <w:tcPr>
            <w:tcW w:type="dxa" w:w="5112"/>
            <w:vAlign w:val="center"/>
          </w:tcPr>
          <w:p>
            <w:r>
              <w:t>À utiliser pour identifier le matériel, son état, la durée, la restitution et la responsabilité en cas de dommage.</w:t>
            </w:r>
          </w:p>
        </w:tc>
      </w:tr>
      <w:tr>
        <w:tc>
          <w:tcPr>
            <w:tcW w:type="dxa" w:w="5112"/>
            <w:vAlign w:val="center"/>
            <w:shd w:fill="EEF4FF"/>
          </w:tcPr>
          <w:p>
            <w:r>
              <w:t>À éviter</w:t>
            </w:r>
          </w:p>
        </w:tc>
        <w:tc>
          <w:tcPr>
            <w:tcW w:type="dxa" w:w="5112"/>
            <w:vAlign w:val="center"/>
          </w:tcPr>
          <w:p>
            <w:r>
              <w:t>À éviter si le prêt est rémunéré : une location ou prestation peut être plus adaptée.</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précisément les parties et l’objet de « Prêt de matériel ».</w:t>
      </w:r>
    </w:p>
    <w:p>
      <w:pPr>
        <w:pStyle w:val="ListBullet"/>
      </w:pPr>
      <w:r>
        <w:t>Écrire les montants, dates, délais, obligations, preuves et annexes sans zones floues.</w:t>
      </w:r>
    </w:p>
    <w:p>
      <w:pPr>
        <w:pStyle w:val="ListBullet"/>
      </w:pPr>
      <w:r>
        <w:t>Prévoir les conditions de modification, fin, restitution, notification et signature.</w:t>
      </w:r>
    </w:p>
    <w:p>
      <w:pPr>
        <w:pStyle w:val="ListBullet"/>
      </w:pPr>
      <w:r>
        <w:t>Adapter le modèle aux faits réels et aux règles applicables avant usage.</w:t>
      </w:r>
    </w:p>
    <w:p>
      <w:pPr>
        <w:pStyle w:val="Heading1"/>
      </w:pPr>
      <w:r>
        <w:rPr>
          <w:b w:val="0"/>
          <w:i w:val="0"/>
        </w:rPr>
        <w:t>B. Pièges à éviter</w:t>
      </w:r>
    </w:p>
    <w:p>
      <w:pPr>
        <w:pStyle w:val="ListBullet"/>
      </w:pPr>
      <w:r>
        <w:t>Parties mal identifiées ou pouvoir de signature incertain.</w:t>
      </w:r>
    </w:p>
    <w:p>
      <w:pPr>
        <w:pStyle w:val="ListBullet"/>
      </w:pPr>
      <w:r>
        <w:t>Objet, montant, durée ou preuve insuffisamment précis.</w:t>
      </w:r>
    </w:p>
    <w:p>
      <w:pPr>
        <w:pStyle w:val="ListBullet"/>
      </w:pPr>
      <w:r>
        <w:t>Clauses contradictoires ou copiées d’un autre contexte.</w:t>
      </w:r>
    </w:p>
    <w:p>
      <w:pPr>
        <w:pStyle w:val="ListBullet"/>
      </w:pPr>
      <w:r>
        <w:t>Absence de sortie, notification, annexes ou exemplaires signés.</w:t>
      </w:r>
    </w:p>
    <w:p>
      <w:pPr>
        <w:pStyle w:val="Heading1"/>
      </w:pPr>
      <w:r>
        <w:rPr>
          <w:b w:val="0"/>
          <w:i w:val="0"/>
        </w:rPr>
        <w:t>C. Clauses et informations à adapter</w:t>
      </w:r>
    </w:p>
    <w:p>
      <w:pPr>
        <w:pStyle w:val="ListBullet"/>
      </w:pPr>
      <w:r>
        <w:t>Responsabilité : préciser le contenu exact, les limites, les preuves et les conséquences pratiques.</w:t>
      </w:r>
    </w:p>
    <w:p>
      <w:pPr>
        <w:pStyle w:val="ListBullet"/>
      </w:pPr>
      <w:r>
        <w:t>Assurance : préciser le contenu exact, les limites, les preuves et les conséquences pratiques.</w:t>
      </w:r>
    </w:p>
    <w:p>
      <w:pPr>
        <w:pStyle w:val="ListBullet"/>
      </w:pPr>
      <w:r>
        <w:t>Restitution : préciser le contenu exact, les limites, les preuves et les conséquences pratiques.</w:t>
      </w:r>
    </w:p>
    <w:p>
      <w:pPr>
        <w:pStyle w:val="ListBullet"/>
      </w:pPr>
      <w:r>
        <w:t>Durée : préciser le contenu exact, les limites, les preuves et les conséquences pratiques.</w:t>
      </w:r>
    </w:p>
    <w:p>
      <w:pPr>
        <w:pStyle w:val="ListBullet"/>
      </w:pPr>
      <w:r>
        <w:t>Prêteur : ne pas laisser vide ; indiquer “sans objet” si le point ne concerne pas le dossier.</w:t>
      </w:r>
    </w:p>
    <w:p>
      <w:pPr>
        <w:pStyle w:val="ListBullet"/>
      </w:pPr>
      <w:r>
        <w:t>Emprunteur : ne pas laisser vide ; indiquer “sans objet” si le point ne concerne pas le dossier.</w:t>
      </w:r>
    </w:p>
    <w:p>
      <w:pPr>
        <w:pStyle w:val="ListBullet"/>
      </w:pPr>
      <w:r>
        <w:t>Description du matériel : ne pas laisser vide ; indiquer “sans objet” si le point ne concerne pas le dossier.</w:t>
      </w:r>
    </w:p>
    <w:p>
      <w:pPr>
        <w:pStyle w:val="ListBullet"/>
      </w:pPr>
      <w:r>
        <w:t>État : ne pas laisser vide ; indiquer “sans objet” si le point ne concerne pas le dossier.</w:t>
      </w:r>
    </w:p>
    <w:p>
      <w:pPr>
        <w:pStyle w:val="ListBullet"/>
      </w:pPr>
      <w:r>
        <w:t>Durée : ne pas laisser vide ; indiquer “sans objet” si le point ne concerne pas le dossier.</w:t>
      </w:r>
    </w:p>
    <w:p>
      <w:pPr>
        <w:pStyle w:val="ListBullet"/>
      </w:pPr>
      <w:r>
        <w:t>Usage autorisé : ne pas laisser vide ; indiquer “sans objet” si le point ne concerne pas le dossier.</w:t>
      </w:r>
    </w:p>
    <w:p>
      <w:pPr>
        <w:pStyle w:val="ListBullet"/>
      </w:pPr>
      <w:r>
        <w:t>Restitution : ne pas laisser vide ; indiquer “sans objet” si le point ne concerne pas le dossier.</w:t>
      </w:r>
    </w:p>
    <w:p>
      <w:pPr>
        <w:pStyle w:val="ListBullet"/>
      </w:pPr>
      <w:r>
        <w:t>Responsabilité : ne pas laisser vide ; indiquer “sans objet” si le point ne concerne pas le dossier.</w:t>
      </w:r>
    </w:p>
    <w:p>
      <w:pPr>
        <w:pStyle w:val="ListBullet"/>
      </w:pPr>
      <w:r>
        <w:t>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Prêt de matériel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prêt de matériel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