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politique cookies gratuit</w:t>
      </w:r>
    </w:p>
    <w:p>
      <w:r>
        <w:rPr>
          <w:b/>
          <w:i w:val="0"/>
          <w:color w:val="0B2D57"/>
        </w:rPr>
        <w:t>Version complète — France — clauses renforcées et annexes à adapter</w:t>
      </w:r>
    </w:p>
    <w:p>
      <w:r>
        <w:rPr>
          <w:b w:val="0"/>
          <w:i/>
        </w:rPr>
        <w:t>Utiliser pour expliquer les cookies, traceurs, finalités, durées et choix de l’utilisateur.</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Politique cookies</w:t>
            </w:r>
          </w:p>
        </w:tc>
      </w:tr>
      <w:tr>
        <w:tc>
          <w:tcPr>
            <w:tcW w:type="dxa" w:w="5112"/>
            <w:vAlign w:val="center"/>
            <w:shd w:fill="EEF4FF"/>
          </w:tcPr>
          <w:p>
            <w:r>
              <w:t>Utilisation prévue</w:t>
            </w:r>
          </w:p>
        </w:tc>
        <w:tc>
          <w:tcPr>
            <w:tcW w:type="dxa" w:w="5112"/>
            <w:vAlign w:val="center"/>
          </w:tcPr>
          <w:p>
            <w:r>
              <w:t>Utiliser pour expliquer les cookies, traceurs, finalités, durées et choix de l’utilisateur.</w:t>
            </w:r>
          </w:p>
        </w:tc>
      </w:tr>
      <w:tr>
        <w:tc>
          <w:tcPr>
            <w:tcW w:type="dxa" w:w="5112"/>
            <w:vAlign w:val="center"/>
            <w:shd w:fill="EEF4FF"/>
          </w:tcPr>
          <w:p>
            <w:r>
              <w:t>À éviter</w:t>
            </w:r>
          </w:p>
        </w:tc>
        <w:tc>
          <w:tcPr>
            <w:tcW w:type="dxa" w:w="5112"/>
            <w:vAlign w:val="center"/>
          </w:tcPr>
          <w:p>
            <w:r>
              <w:t>À éviter si elle ne correspond pas aux traceurs réellement déposés.</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Politique cookies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Données personnelles : préciser le contenu exact, les limites, les preuves et les conséquences pratiques.</w:t>
      </w:r>
    </w:p>
    <w:p>
      <w:pPr>
        <w:pStyle w:val="ListBullet"/>
      </w:pPr>
      <w:r>
        <w:t>Sécurité : préciser le contenu exact, les limites, les preuves et les conséquences pratiques.</w:t>
      </w:r>
    </w:p>
    <w:p>
      <w:pPr>
        <w:pStyle w:val="ListBullet"/>
      </w:pPr>
      <w:r>
        <w:t>Durée de conservation : préciser le contenu exact, les limites, les preuves et les conséquences pratiques.</w:t>
      </w:r>
    </w:p>
    <w:p>
      <w:pPr>
        <w:pStyle w:val="ListBullet"/>
      </w:pPr>
      <w:r>
        <w:t>Sous-traitance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Éditeur ou prestataire : ne pas laisser vide ; indiquer “sans objet” si le point ne concerne pas le dossier.</w:t>
      </w:r>
    </w:p>
    <w:p>
      <w:pPr>
        <w:pStyle w:val="ListBullet"/>
      </w:pPr>
      <w:r>
        <w:t>Service concerné : ne pas laisser vide ; indiquer “sans objet” si le point ne concerne pas le dossier.</w:t>
      </w:r>
    </w:p>
    <w:p>
      <w:pPr>
        <w:pStyle w:val="ListBullet"/>
      </w:pPr>
      <w:r>
        <w:t>Données ou contenus concernés : ne pas laisser vide ; indiquer “sans objet” si le point ne concerne pas le dossier.</w:t>
      </w:r>
    </w:p>
    <w:p>
      <w:pPr>
        <w:pStyle w:val="ListBullet"/>
      </w:pPr>
      <w:r>
        <w:t>Finalités ou usages : ne pas laisser vide ; indiquer “sans objet” si le point ne concerne pas le dossier.</w:t>
      </w:r>
    </w:p>
    <w:p>
      <w:pPr>
        <w:pStyle w:val="ListBullet"/>
      </w:pPr>
      <w:r>
        <w:t>Durées : ne pas laisser vide ; indiquer “sans objet” si le point ne concerne pas le dossier.</w:t>
      </w:r>
    </w:p>
    <w:p>
      <w:pPr>
        <w:pStyle w:val="ListBullet"/>
      </w:pPr>
      <w:r>
        <w:t>Sécurité : ne pas laisser vide ; indiquer “sans objet” si le point ne concerne pas le dossier.</w:t>
      </w:r>
    </w:p>
    <w:p>
      <w:pPr>
        <w:pStyle w:val="ListBullet"/>
      </w:pPr>
      <w:r>
        <w:t>Sous-traitants éventuels : ne pas laisser vide ; indiquer “sans objet” si le point ne concerne pas le dossier.</w:t>
      </w:r>
    </w:p>
    <w:p>
      <w:pPr>
        <w:pStyle w:val="ListBullet"/>
      </w:pPr>
      <w:r>
        <w:t>Droits des utilisateurs : ne pas laisser vide ; indiquer “sans objet” si le point ne concerne pas le dossier.</w:t>
      </w:r>
    </w:p>
    <w:p>
      <w:pPr>
        <w:pStyle w:val="ListBullet"/>
      </w:pPr>
      <w:r>
        <w:t>Contact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Politique cookies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politique cookies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