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accord de confidentialité nda gratuit</w:t>
      </w:r>
    </w:p>
    <w:p>
      <w:r>
        <w:rPr>
          <w:b/>
          <w:i w:val="0"/>
          <w:color w:val="0B2D57"/>
        </w:rPr>
        <w:t>Version complète — France — clauses renforcées et annexes à adapter</w:t>
      </w:r>
    </w:p>
    <w:p>
      <w:r>
        <w:rPr>
          <w:b w:val="0"/>
          <w:i/>
        </w:rPr>
        <w:t>Utiliser avant d’échanger des informations sensibles, commerciales ou techniques.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Accord de confidentialité NDA</w:t>
            </w:r>
          </w:p>
        </w:tc>
      </w:tr>
      <w:tr>
        <w:tc>
          <w:tcPr>
            <w:tcW w:type="dxa" w:w="5112"/>
            <w:vAlign w:val="center"/>
            <w:shd w:fill="EEF4FF"/>
          </w:tcPr>
          <w:p>
            <w:r>
              <w:t>Utilisation prévue</w:t>
            </w:r>
          </w:p>
        </w:tc>
        <w:tc>
          <w:tcPr>
            <w:tcW w:type="dxa" w:w="5112"/>
            <w:vAlign w:val="center"/>
          </w:tcPr>
          <w:p>
            <w:r>
              <w:t>Utiliser avant d’échanger des informations sensibles, commerciales ou techniques.</w:t>
            </w:r>
          </w:p>
        </w:tc>
      </w:tr>
      <w:tr>
        <w:tc>
          <w:tcPr>
            <w:tcW w:type="dxa" w:w="5112"/>
            <w:vAlign w:val="center"/>
            <w:shd w:fill="EEF4FF"/>
          </w:tcPr>
          <w:p>
            <w:r>
              <w:t>À éviter</w:t>
            </w:r>
          </w:p>
        </w:tc>
        <w:tc>
          <w:tcPr>
            <w:tcW w:type="dxa" w:w="5112"/>
            <w:vAlign w:val="center"/>
          </w:tcPr>
          <w:p>
            <w:r>
              <w:t>À éviter si la durée, le périmètre et les exceptions ne sont pas précisés.</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Accord de confidentialité NDA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Confidentialité : préciser le contenu exact, les limites, les preuves et les conséquences pratiques.</w:t>
      </w:r>
    </w:p>
    <w:p>
      <w:pPr>
        <w:pStyle w:val="ListBullet"/>
      </w:pPr>
      <w:r>
        <w:t>Durée : préciser le contenu exact, les limites, les preuves et les conséquences pratiques.</w:t>
      </w:r>
    </w:p>
    <w:p>
      <w:pPr>
        <w:pStyle w:val="ListBullet"/>
      </w:pPr>
      <w:r>
        <w:t>Exceptions : préciser le contenu exact, les limites, les preuves et les conséquences pratiques.</w:t>
      </w:r>
    </w:p>
    <w:p>
      <w:pPr>
        <w:pStyle w:val="ListBullet"/>
      </w:pPr>
      <w:r>
        <w:t>Restitution : préciser le contenu exact, les limites, les preuves et les conséquences pratiques.</w:t>
      </w:r>
    </w:p>
    <w:p>
      <w:pPr>
        <w:pStyle w:val="ListBullet"/>
      </w:pPr>
      <w:r>
        <w:t>Sanctions : préciser le contenu exact, les limites, les preuves et les conséquences pratiques.</w:t>
      </w:r>
    </w:p>
    <w:p>
      <w:pPr>
        <w:pStyle w:val="ListBullet"/>
      </w:pPr>
      <w:r>
        <w:t>Client et prestataire : ne pas laisser vide ; indiquer “sans objet” si le point ne concerne pas le dossier.</w:t>
      </w:r>
    </w:p>
    <w:p>
      <w:pPr>
        <w:pStyle w:val="ListBullet"/>
      </w:pPr>
      <w:r>
        <w:t>Objet de la mission : ne pas laisser vide ; indiquer “sans objet” si le point ne concerne pas le dossier.</w:t>
      </w:r>
    </w:p>
    <w:p>
      <w:pPr>
        <w:pStyle w:val="ListBullet"/>
      </w:pPr>
      <w:r>
        <w:t>Livrables attendus : ne pas laisser vide ; indiquer “sans objet” si le point ne concerne pas le dossier.</w:t>
      </w:r>
    </w:p>
    <w:p>
      <w:pPr>
        <w:pStyle w:val="ListBullet"/>
      </w:pPr>
      <w:r>
        <w:t>Planning et jalons : ne pas laisser vide ; indiquer “sans objet” si le point ne concerne pas le dossier.</w:t>
      </w:r>
    </w:p>
    <w:p>
      <w:pPr>
        <w:pStyle w:val="ListBullet"/>
      </w:pPr>
      <w:r>
        <w:t>Prix et paiement : ne pas laisser vide ; indiquer “sans objet” si le point ne concerne pas le dossier.</w:t>
      </w:r>
    </w:p>
    <w:p>
      <w:pPr>
        <w:pStyle w:val="ListBullet"/>
      </w:pPr>
      <w:r>
        <w:t>Confidentialité : ne pas laisser vide ; indiquer “sans objet” si le point ne concerne pas le dossier.</w:t>
      </w:r>
    </w:p>
    <w:p>
      <w:pPr>
        <w:pStyle w:val="ListBullet"/>
      </w:pPr>
      <w:r>
        <w:t>Propriété intellectuelle : ne pas laisser vide ; indiquer “sans objet” si le point ne concerne pas le dossier.</w:t>
      </w:r>
    </w:p>
    <w:p>
      <w:pPr>
        <w:pStyle w:val="ListBullet"/>
      </w:pPr>
      <w:r>
        <w:t>Responsabilité : ne pas laisser vide ; indiquer “sans objet” si le point ne concerne pas le dossier.</w:t>
      </w:r>
    </w:p>
    <w:p>
      <w:pPr>
        <w:pStyle w:val="ListBullet"/>
      </w:pPr>
      <w:r>
        <w:t>Résiliation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Accord de confidentialité NDA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accord de confidentialité nda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