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mise à disposition de local gratuit</w:t>
      </w:r>
    </w:p>
    <w:p>
      <w:r>
        <w:rPr>
          <w:b/>
          <w:i w:val="0"/>
          <w:color w:val="0B2D57"/>
        </w:rPr>
        <w:t>Version complète — France — clauses renforcées et annexes à adapter</w:t>
      </w:r>
    </w:p>
    <w:p>
      <w:r>
        <w:rPr>
          <w:b w:val="0"/>
          <w:i/>
        </w:rPr>
        <w:t>Utiliser pour encadrer l’usage d’un local par une association.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mise à disposition de local</w:t>
            </w:r>
          </w:p>
        </w:tc>
      </w:tr>
      <w:tr>
        <w:tc>
          <w:tcPr>
            <w:tcW w:type="dxa" w:w="5112"/>
            <w:vAlign w:val="center"/>
            <w:shd w:fill="EEF4FF"/>
          </w:tcPr>
          <w:p>
            <w:r>
              <w:t>Utilisation prévue</w:t>
            </w:r>
          </w:p>
        </w:tc>
        <w:tc>
          <w:tcPr>
            <w:tcW w:type="dxa" w:w="5112"/>
            <w:vAlign w:val="center"/>
          </w:tcPr>
          <w:p>
            <w:r>
              <w:t>Utiliser pour encadrer l’usage d’un local par une association.</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mise à disposition de local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mise à disposition de local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mise à disposition de local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