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maintenance informatique gratuit</w:t>
      </w:r>
    </w:p>
    <w:p>
      <w:r>
        <w:rPr>
          <w:b/>
          <w:i w:val="0"/>
          <w:color w:val="0B2D57"/>
        </w:rPr>
        <w:t>Version complète — France — clauses renforcées et annexes à adapter</w:t>
      </w:r>
    </w:p>
    <w:p>
      <w:r>
        <w:rPr>
          <w:b w:val="0"/>
          <w:i/>
        </w:rPr>
        <w:t>Utiliser pour définir support, délais d’intervention, exclusions et niveaux de service.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maintenance informatique</w:t>
            </w:r>
          </w:p>
        </w:tc>
      </w:tr>
      <w:tr>
        <w:tc>
          <w:tcPr>
            <w:tcW w:type="dxa" w:w="5112"/>
            <w:vAlign w:val="center"/>
            <w:shd w:fill="EEF4FF"/>
          </w:tcPr>
          <w:p>
            <w:r>
              <w:t>Utilisation prévue</w:t>
            </w:r>
          </w:p>
        </w:tc>
        <w:tc>
          <w:tcPr>
            <w:tcW w:type="dxa" w:w="5112"/>
            <w:vAlign w:val="center"/>
          </w:tcPr>
          <w:p>
            <w:r>
              <w:t>Utiliser pour définir support, délais d’intervention, exclusions et niveaux de service.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maintenance informatique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maintenance informatique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maintenance informatique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