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location de matériel gratuit</w:t>
      </w:r>
    </w:p>
    <w:p>
      <w:r>
        <w:rPr>
          <w:b/>
          <w:i w:val="0"/>
          <w:color w:val="0B2D57"/>
        </w:rPr>
        <w:t>Version complète — France — clauses renforcées et annexes à adapter</w:t>
      </w:r>
    </w:p>
    <w:p>
      <w:r>
        <w:rPr>
          <w:b w:val="0"/>
          <w:i/>
        </w:rPr>
        <w:t>Encadrer la location temporaire d’un équipement ou matériel.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Location de matériel</w:t>
            </w:r>
          </w:p>
        </w:tc>
      </w:tr>
      <w:tr>
        <w:tc>
          <w:tcPr>
            <w:tcW w:type="dxa" w:w="5112"/>
            <w:vAlign w:val="center"/>
            <w:shd w:fill="EEF4FF"/>
          </w:tcPr>
          <w:p>
            <w:r>
              <w:t>Utilisation prévue</w:t>
            </w:r>
          </w:p>
        </w:tc>
        <w:tc>
          <w:tcPr>
            <w:tcW w:type="dxa" w:w="5112"/>
            <w:vAlign w:val="center"/>
          </w:tcPr>
          <w:p>
            <w:r>
              <w:t>À utiliser pour fixer matériel, durée, prix, dépôt, état, assurance, restitution et pénalités éventuelles.</w:t>
            </w:r>
          </w:p>
        </w:tc>
      </w:tr>
      <w:tr>
        <w:tc>
          <w:tcPr>
            <w:tcW w:type="dxa" w:w="5112"/>
            <w:vAlign w:val="center"/>
            <w:shd w:fill="EEF4FF"/>
          </w:tcPr>
          <w:p>
            <w:r>
              <w:t>À éviter</w:t>
            </w:r>
          </w:p>
        </w:tc>
        <w:tc>
          <w:tcPr>
            <w:tcW w:type="dxa" w:w="5112"/>
            <w:vAlign w:val="center"/>
          </w:tcPr>
          <w:p>
            <w:r>
              <w:t>À éviter pour du matériel réglementé, dangereux ou dont l’usage exige une qualification spécifique.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Location de matériel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Assurance : préciser le contenu exact, les limites, les preuves et les conséquences pratiques.</w:t>
      </w:r>
    </w:p>
    <w:p>
      <w:pPr>
        <w:pStyle w:val="ListBullet"/>
      </w:pPr>
      <w:r>
        <w:t>Pénalités de retard : préciser le contenu exact, les limites, les preuves et les conséquences pratiques.</w:t>
      </w:r>
    </w:p>
    <w:p>
      <w:pPr>
        <w:pStyle w:val="ListBullet"/>
      </w:pPr>
      <w:r>
        <w:t>Loueur : ne pas laisser vide ; indiquer “sans objet” si le point ne concerne pas le dossier.</w:t>
      </w:r>
    </w:p>
    <w:p>
      <w:pPr>
        <w:pStyle w:val="ListBullet"/>
      </w:pPr>
      <w:r>
        <w:t>Locataire : ne pas laisser vide ; indiquer “sans objet” si le point ne concerne pas le dossier.</w:t>
      </w:r>
    </w:p>
    <w:p>
      <w:pPr>
        <w:pStyle w:val="ListBullet"/>
      </w:pPr>
      <w:r>
        <w:t>Matériel : ne pas laisser vide ; indiquer “sans objet” si le point ne concerne pas le dossier.</w:t>
      </w:r>
    </w:p>
    <w:p>
      <w:pPr>
        <w:pStyle w:val="ListBullet"/>
      </w:pPr>
      <w:r>
        <w:t>État initial : ne pas laisser vide ; indiquer “sans objet” si le point ne concerne pas le dossier.</w:t>
      </w:r>
    </w:p>
    <w:p>
      <w:pPr>
        <w:pStyle w:val="ListBullet"/>
      </w:pPr>
      <w:r>
        <w:t>Durée : ne pas laisser vide ; indiquer “sans objet” si le point ne concerne pas le dossier.</w:t>
      </w:r>
    </w:p>
    <w:p>
      <w:pPr>
        <w:pStyle w:val="ListBullet"/>
      </w:pPr>
      <w:r>
        <w:t>Prix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Assurance : ne pas laisser vide ; indiquer “sans objet” si le point ne concerne pas le dossier.</w:t>
      </w:r>
    </w:p>
    <w:p>
      <w:pPr>
        <w:pStyle w:val="ListBullet"/>
      </w:pPr>
      <w:r>
        <w:t>Restitution : ne pas laisser vide ; indiquer “sans objet” si le point ne concerne pas le dossier.</w:t>
      </w:r>
    </w:p>
    <w:p>
      <w:pPr>
        <w:pStyle w:val="ListBullet"/>
      </w:pPr>
      <w:r>
        <w:t>Pénalités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Location de matériel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location de matériel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