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formation professionnelle gratuit</w:t>
      </w:r>
    </w:p>
    <w:p>
      <w:r>
        <w:rPr>
          <w:b/>
          <w:i w:val="0"/>
          <w:color w:val="0B2D57"/>
        </w:rPr>
        <w:t>Version complète — France — clauses renforcées et annexes à adapter</w:t>
      </w:r>
    </w:p>
    <w:p>
      <w:r>
        <w:rPr>
          <w:b w:val="0"/>
          <w:i/>
        </w:rPr>
        <w:t>Utiliser pour encadrer une prestation de formation entre organisme et client.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formation professionnelle</w:t>
            </w:r>
          </w:p>
        </w:tc>
      </w:tr>
      <w:tr>
        <w:tc>
          <w:tcPr>
            <w:tcW w:type="dxa" w:w="5112"/>
            <w:vAlign w:val="center"/>
            <w:shd w:fill="EEF4FF"/>
          </w:tcPr>
          <w:p>
            <w:r>
              <w:t>Utilisation prévue</w:t>
            </w:r>
          </w:p>
        </w:tc>
        <w:tc>
          <w:tcPr>
            <w:tcW w:type="dxa" w:w="5112"/>
            <w:vAlign w:val="center"/>
          </w:tcPr>
          <w:p>
            <w:r>
              <w:t>Utiliser pour encadrer une prestation de formation entre organisme et client.</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formation professionnelle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formation professionnelle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formation professionnelle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