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échéancier de paiement gratuit</w:t>
      </w:r>
    </w:p>
    <w:p>
      <w:r>
        <w:rPr>
          <w:b/>
          <w:i w:val="0"/>
          <w:color w:val="0B2D57"/>
        </w:rPr>
        <w:t>Version complète — France — clauses renforcées et annexes à adapter</w:t>
      </w:r>
    </w:p>
    <w:p>
      <w:r>
        <w:rPr>
          <w:b w:val="0"/>
          <w:i/>
        </w:rPr>
        <w:t>Organiser le paiement progressif d’une somme due.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Échéancier de paiement</w:t>
            </w:r>
          </w:p>
        </w:tc>
      </w:tr>
      <w:tr>
        <w:tc>
          <w:tcPr>
            <w:tcW w:type="dxa" w:w="5112"/>
            <w:vAlign w:val="center"/>
            <w:shd w:fill="EEF4FF"/>
          </w:tcPr>
          <w:p>
            <w:r>
              <w:t>Utilisation prévue</w:t>
            </w:r>
          </w:p>
        </w:tc>
        <w:tc>
          <w:tcPr>
            <w:tcW w:type="dxa" w:w="5112"/>
            <w:vAlign w:val="center"/>
          </w:tcPr>
          <w:p>
            <w:r>
              <w:t>À utiliser pour fixer montant total, échéances, dates, moyens de paiement et conséquences d’un retard.</w:t>
            </w:r>
          </w:p>
        </w:tc>
      </w:tr>
      <w:tr>
        <w:tc>
          <w:tcPr>
            <w:tcW w:type="dxa" w:w="5112"/>
            <w:vAlign w:val="center"/>
            <w:shd w:fill="EEF4FF"/>
          </w:tcPr>
          <w:p>
            <w:r>
              <w:t>À éviter</w:t>
            </w:r>
          </w:p>
        </w:tc>
        <w:tc>
          <w:tcPr>
            <w:tcW w:type="dxa" w:w="5112"/>
            <w:vAlign w:val="center"/>
          </w:tcPr>
          <w:p>
            <w:r>
              <w:t>À éviter si la dette est contestée ou si un acte plus formel est nécessaire.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Échéancier de paiement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Pénalités de retard : préciser le contenu exact, les limites, les preuves et les conséquences pratiques.</w:t>
      </w:r>
    </w:p>
    <w:p>
      <w:pPr>
        <w:pStyle w:val="ListBullet"/>
      </w:pPr>
      <w:r>
        <w:t>Preuve : préciser le contenu exact, les limites, les preuves et les conséquences pratiques.</w:t>
      </w:r>
    </w:p>
    <w:p>
      <w:pPr>
        <w:pStyle w:val="ListBullet"/>
      </w:pPr>
      <w:r>
        <w:t>Résiliation : préciser le contenu exact, les limites, les preuves et les conséquences pratiques.</w:t>
      </w:r>
    </w:p>
    <w:p>
      <w:pPr>
        <w:pStyle w:val="ListBullet"/>
      </w:pPr>
      <w:r>
        <w:t>Créancier : ne pas laisser vide ; indiquer “sans objet” si le point ne concerne pas le dossier.</w:t>
      </w:r>
    </w:p>
    <w:p>
      <w:pPr>
        <w:pStyle w:val="ListBullet"/>
      </w:pPr>
      <w:r>
        <w:t>Débiteur : ne pas laisser vide ; indiquer “sans objet” si le point ne concerne pas le dossier.</w:t>
      </w:r>
    </w:p>
    <w:p>
      <w:pPr>
        <w:pStyle w:val="ListBullet"/>
      </w:pPr>
      <w:r>
        <w:t>Montant total : ne pas laisser vide ; indiquer “sans objet” si le point ne concerne pas le dossier.</w:t>
      </w:r>
    </w:p>
    <w:p>
      <w:pPr>
        <w:pStyle w:val="ListBullet"/>
      </w:pPr>
      <w:r>
        <w:t>Échéances : ne pas laisser vide ; indiquer “sans objet” si le point ne concerne pas le dossier.</w:t>
      </w:r>
    </w:p>
    <w:p>
      <w:pPr>
        <w:pStyle w:val="ListBullet"/>
      </w:pPr>
      <w:r>
        <w:t>Dates : ne pas laisser vide ; indiquer “sans objet” si le point ne concerne pas le dossier.</w:t>
      </w:r>
    </w:p>
    <w:p>
      <w:pPr>
        <w:pStyle w:val="ListBullet"/>
      </w:pPr>
      <w:r>
        <w:t>Moyen de paiement : ne pas laisser vide ; indiquer “sans objet” si le point ne concerne pas le dossier.</w:t>
      </w:r>
    </w:p>
    <w:p>
      <w:pPr>
        <w:pStyle w:val="ListBullet"/>
      </w:pPr>
      <w:r>
        <w:t>Retard : ne pas laisser vide ; indiquer “sans objet” si le point ne concerne pas le dossier.</w:t>
      </w:r>
    </w:p>
    <w:p>
      <w:pPr>
        <w:pStyle w:val="ListBullet"/>
      </w:pPr>
      <w:r>
        <w:t>Preuve des paiements : ne pas laisser vide ; indiquer “sans objet” si le point ne concerne pas le dossier.</w:t>
      </w:r>
    </w:p>
    <w:p>
      <w:pPr>
        <w:pStyle w:val="ListBullet"/>
      </w:pPr>
      <w:r>
        <w:t>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Échéancier de paiement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échéancier de paiement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