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distribution gratuit</w:t>
      </w:r>
    </w:p>
    <w:p>
      <w:r>
        <w:rPr>
          <w:b/>
          <w:i w:val="0"/>
          <w:color w:val="0B2D57"/>
        </w:rPr>
        <w:t>Version complète — France — clauses renforcées et annexes à adapter</w:t>
      </w:r>
    </w:p>
    <w:p>
      <w:r>
        <w:rPr>
          <w:b w:val="0"/>
          <w:i/>
        </w:rPr>
        <w:t>Utiliser pour organiser la distribution de produits ou services par un partenaire.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distribution</w:t>
            </w:r>
          </w:p>
        </w:tc>
      </w:tr>
      <w:tr>
        <w:tc>
          <w:tcPr>
            <w:tcW w:type="dxa" w:w="5112"/>
            <w:vAlign w:val="center"/>
            <w:shd w:fill="EEF4FF"/>
          </w:tcPr>
          <w:p>
            <w:r>
              <w:t>Utilisation prévue</w:t>
            </w:r>
          </w:p>
        </w:tc>
        <w:tc>
          <w:tcPr>
            <w:tcW w:type="dxa" w:w="5112"/>
            <w:vAlign w:val="center"/>
          </w:tcPr>
          <w:p>
            <w:r>
              <w:t>Utiliser pour organiser la distribution de produits ou services par un partenaire.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distribution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distribution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distribution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