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mécénat gratuit</w:t>
      </w:r>
    </w:p>
    <w:p>
      <w:r>
        <w:rPr>
          <w:b/>
          <w:i w:val="0"/>
          <w:color w:val="0B2D57"/>
        </w:rPr>
        <w:t>Version complète — France — clauses renforcées et annexes à adapter</w:t>
      </w:r>
    </w:p>
    <w:p>
      <w:r>
        <w:rPr>
          <w:b w:val="0"/>
          <w:i/>
        </w:rPr>
        <w:t>Utiliser pour encadrer un soutien financier, matériel ou de compétence.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mécénat</w:t>
            </w:r>
          </w:p>
        </w:tc>
      </w:tr>
      <w:tr>
        <w:tc>
          <w:tcPr>
            <w:tcW w:type="dxa" w:w="5112"/>
            <w:vAlign w:val="center"/>
            <w:shd w:fill="EEF4FF"/>
          </w:tcPr>
          <w:p>
            <w:r>
              <w:t>Utilisation prévue</w:t>
            </w:r>
          </w:p>
        </w:tc>
        <w:tc>
          <w:tcPr>
            <w:tcW w:type="dxa" w:w="5112"/>
            <w:vAlign w:val="center"/>
          </w:tcPr>
          <w:p>
            <w:r>
              <w:t>Utiliser pour encadrer un soutien financier, matériel ou de compétence.</w:t>
            </w:r>
          </w:p>
        </w:tc>
      </w:tr>
      <w:tr>
        <w:tc>
          <w:tcPr>
            <w:tcW w:type="dxa" w:w="5112"/>
            <w:vAlign w:val="center"/>
            <w:shd w:fill="EEF4FF"/>
          </w:tcPr>
          <w:p>
            <w:r>
              <w:t>À éviter</w:t>
            </w:r>
          </w:p>
        </w:tc>
        <w:tc>
          <w:tcPr>
            <w:tcW w:type="dxa" w:w="5112"/>
            <w:vAlign w:val="center"/>
          </w:tcPr>
          <w:p>
            <w:r>
              <w:t>À éviter sans vérifier les implications fiscales et les contreparties.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mécénat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Convention de mécénat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mécénat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