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prestation SEO gratuit</w:t>
      </w:r>
    </w:p>
    <w:p>
      <w:r>
        <w:rPr>
          <w:b/>
          <w:i w:val="0"/>
          <w:color w:val="0B2D57"/>
        </w:rPr>
        <w:t>Version complète — France — clauses renforcées et annexes à adapter</w:t>
      </w:r>
    </w:p>
    <w:p>
      <w:r>
        <w:rPr>
          <w:b w:val="0"/>
          <w:i/>
        </w:rPr>
        <w:t>Encadrer une mission SEO : audit, stratégie, contenus, technique, reporting, livrables et limites de résultat.</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prestation SEO</w:t>
            </w:r>
          </w:p>
        </w:tc>
      </w:tr>
      <w:tr>
        <w:tc>
          <w:tcPr>
            <w:tcW w:type="dxa" w:w="5112"/>
            <w:vAlign w:val="center"/>
            <w:shd w:fill="EEF4FF"/>
          </w:tcPr>
          <w:p>
            <w:r>
              <w:t>Utilisation prévue</w:t>
            </w:r>
          </w:p>
        </w:tc>
        <w:tc>
          <w:tcPr>
            <w:tcW w:type="dxa" w:w="5112"/>
            <w:vAlign w:val="center"/>
          </w:tcPr>
          <w:p>
            <w:r>
              <w:t>À utiliser pour une mission de référencement naturel avec livrables, calendrier, périmètre et modalités de validation.</w:t>
            </w:r>
          </w:p>
        </w:tc>
      </w:tr>
      <w:tr>
        <w:tc>
          <w:tcPr>
            <w:tcW w:type="dxa" w:w="5112"/>
            <w:vAlign w:val="center"/>
            <w:shd w:fill="EEF4FF"/>
          </w:tcPr>
          <w:p>
            <w:r>
              <w:t>À éviter</w:t>
            </w:r>
          </w:p>
        </w:tc>
        <w:tc>
          <w:tcPr>
            <w:tcW w:type="dxa" w:w="5112"/>
            <w:vAlign w:val="center"/>
          </w:tcPr>
          <w:p>
            <w:r>
              <w:t>À éviter si le prestataire promet un résultat garanti non maîtrisable ou si la mission inclut de la publicité payante sans annexe spécifique.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prestation SEO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Livrables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Résiliation : préciser le contenu exact, les limites, les preuves et les conséquences pratiques.</w:t>
      </w:r>
    </w:p>
    <w:p>
      <w:pPr>
        <w:pStyle w:val="ListBullet"/>
      </w:pPr>
      <w:r>
        <w:t>Non-garantie de résultat : préciser le contenu exact, les limites, les preuves et les conséquences pratiques.</w:t>
      </w:r>
    </w:p>
    <w:p>
      <w:pPr>
        <w:pStyle w:val="ListBullet"/>
      </w:pPr>
      <w:r>
        <w:t>Identité du client et du prestataire : ne pas laisser vide ; indiquer “sans objet” si le point ne concerne pas le dossier.</w:t>
      </w:r>
    </w:p>
    <w:p>
      <w:pPr>
        <w:pStyle w:val="ListBullet"/>
      </w:pPr>
      <w:r>
        <w:t>Site ou périmètre analysé : ne pas laisser vide ; indiquer “sans objet” si le point ne concerne pas le dossier.</w:t>
      </w:r>
    </w:p>
    <w:p>
      <w:pPr>
        <w:pStyle w:val="ListBullet"/>
      </w:pPr>
      <w:r>
        <w:t>Objectifs et livrables : ne pas laisser vide ; indiquer “sans objet” si le point ne concerne pas le dossier.</w:t>
      </w:r>
    </w:p>
    <w:p>
      <w:pPr>
        <w:pStyle w:val="ListBullet"/>
      </w:pPr>
      <w:r>
        <w:t>Accès nécessaires : ne pas laisser vide ; indiquer “sans objet” si le point ne concerne pas le dossier.</w:t>
      </w:r>
    </w:p>
    <w:p>
      <w:pPr>
        <w:pStyle w:val="ListBullet"/>
      </w:pPr>
      <w:r>
        <w:t>Calendrier et reporting : ne pas laisser vide ; indiquer “sans objet” si le point ne concerne pas le dossier.</w:t>
      </w:r>
    </w:p>
    <w:p>
      <w:pPr>
        <w:pStyle w:val="ListBullet"/>
      </w:pPr>
      <w:r>
        <w:t>Prix et paiement : ne pas laisser vide ; indiquer “sans objet” si le point ne concerne pas le dossier.</w:t>
      </w:r>
    </w:p>
    <w:p>
      <w:pPr>
        <w:pStyle w:val="ListBullet"/>
      </w:pPr>
      <w:r>
        <w:t>Confidentialité : ne pas laisser vide ; indiquer “sans objet” si le point ne concerne pas le dossier.</w:t>
      </w:r>
    </w:p>
    <w:p>
      <w:pPr>
        <w:pStyle w:val="ListBullet"/>
      </w:pPr>
      <w:r>
        <w:t>Propriété des livrables : ne pas laisser vide ; indiquer “sans objet” si le point ne concerne pas le dossier.</w:t>
      </w:r>
    </w:p>
    <w:p>
      <w:pPr>
        <w:pStyle w:val="ListBullet"/>
      </w:pPr>
      <w:r>
        <w:t>Limites de responsabilité : ne pas laisser vide ; indiquer “sans objet” si le point ne concerne pas le dossier.</w:t>
      </w:r>
    </w:p>
    <w:p>
      <w:pPr>
        <w:pStyle w:val="ListBullet"/>
      </w:pPr>
      <w:r>
        <w:t>Résiliation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prestation SEO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prestation SEO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