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contrat de franchise gratuit</w:t>
      </w:r>
    </w:p>
    <w:p>
      <w:r>
        <w:rPr>
          <w:b/>
          <w:i w:val="0"/>
          <w:color w:val="0B2D57"/>
        </w:rPr>
        <w:t>Version complète — France — clauses renforcées et annexes à adapter</w:t>
      </w:r>
    </w:p>
    <w:p>
      <w:r>
        <w:rPr>
          <w:b w:val="0"/>
          <w:i/>
        </w:rPr>
        <w:t>Structurer une relation de franchise avec marque, savoir-faire et assistance.</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Contrat de franchise</w:t>
            </w:r>
          </w:p>
        </w:tc>
      </w:tr>
      <w:tr>
        <w:tc>
          <w:tcPr>
            <w:tcW w:type="dxa" w:w="5112"/>
            <w:vAlign w:val="center"/>
            <w:shd w:fill="EEF4FF"/>
          </w:tcPr>
          <w:p>
            <w:r>
              <w:t>Utilisation prévue</w:t>
            </w:r>
          </w:p>
        </w:tc>
        <w:tc>
          <w:tcPr>
            <w:tcW w:type="dxa" w:w="5112"/>
            <w:vAlign w:val="center"/>
          </w:tcPr>
          <w:p>
            <w:r>
              <w:t>À utiliser uniquement après analyse du réseau, des obligations d’information et des engagements financiers.</w:t>
            </w:r>
          </w:p>
        </w:tc>
      </w:tr>
      <w:tr>
        <w:tc>
          <w:tcPr>
            <w:tcW w:type="dxa" w:w="5112"/>
            <w:vAlign w:val="center"/>
            <w:shd w:fill="EEF4FF"/>
          </w:tcPr>
          <w:p>
            <w:r>
              <w:t>À éviter</w:t>
            </w:r>
          </w:p>
        </w:tc>
        <w:tc>
          <w:tcPr>
            <w:tcW w:type="dxa" w:w="5112"/>
            <w:vAlign w:val="center"/>
          </w:tcPr>
          <w:p>
            <w:r>
              <w:t>À éviter comme modèle standard non relu : la franchise impose une forte personnalisation.</w:t>
            </w:r>
          </w:p>
        </w:tc>
      </w:tr>
      <w:tr>
        <w:tc>
          <w:tcPr>
            <w:tcW w:type="dxa" w:w="5112"/>
            <w:vAlign w:val="center"/>
            <w:shd w:fill="EEF4FF"/>
          </w:tcPr>
          <w:p>
            <w:r>
              <w:t>Niveau de risque</w:t>
            </w:r>
          </w:p>
        </w:tc>
        <w:tc>
          <w:tcPr>
            <w:tcW w:type="dxa" w:w="5112"/>
            <w:vAlign w:val="center"/>
          </w:tcPr>
          <w:p>
            <w:r>
              <w:t>élevé</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Contrat de franchise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Propriété intellectuelle : préciser le contenu exact, les limites, les preuves et les conséquences pratiques.</w:t>
      </w:r>
    </w:p>
    <w:p>
      <w:pPr>
        <w:pStyle w:val="ListBullet"/>
      </w:pPr>
      <w:r>
        <w:t>Exclusivité : préciser le contenu exact, les limites, les preuves et les conséquences pratiques.</w:t>
      </w:r>
    </w:p>
    <w:p>
      <w:pPr>
        <w:pStyle w:val="ListBullet"/>
      </w:pPr>
      <w:r>
        <w:t>Paiement : préciser le contenu exact, les limites, les preuves et les conséquences pratiques.</w:t>
      </w:r>
    </w:p>
    <w:p>
      <w:pPr>
        <w:pStyle w:val="ListBullet"/>
      </w:pPr>
      <w:r>
        <w:t>Non-concurrence : préciser le contenu exact, les limites, les preuves et les conséquences pratiques.</w:t>
      </w:r>
    </w:p>
    <w:p>
      <w:pPr>
        <w:pStyle w:val="ListBullet"/>
      </w:pPr>
      <w:r>
        <w:t>Résiliation : préciser le contenu exact, les limites, les preuves et les conséquences pratiques.</w:t>
      </w:r>
    </w:p>
    <w:p>
      <w:pPr>
        <w:pStyle w:val="ListBullet"/>
      </w:pPr>
      <w:r>
        <w:t>Parties : ne pas laisser vide ; indiquer “sans objet” si le point ne concerne pas le dossier.</w:t>
      </w:r>
    </w:p>
    <w:p>
      <w:pPr>
        <w:pStyle w:val="ListBullet"/>
      </w:pPr>
      <w:r>
        <w:t>Marque : ne pas laisser vide ; indiquer “sans objet” si le point ne concerne pas le dossier.</w:t>
      </w:r>
    </w:p>
    <w:p>
      <w:pPr>
        <w:pStyle w:val="ListBullet"/>
      </w:pPr>
      <w:r>
        <w:t>Savoir-faire : ne pas laisser vide ; indiquer “sans objet” si le point ne concerne pas le dossier.</w:t>
      </w:r>
    </w:p>
    <w:p>
      <w:pPr>
        <w:pStyle w:val="ListBullet"/>
      </w:pPr>
      <w:r>
        <w:t>Territoire : ne pas laisser vide ; indiquer “sans objet” si le point ne concerne pas le dossier.</w:t>
      </w:r>
    </w:p>
    <w:p>
      <w:pPr>
        <w:pStyle w:val="ListBullet"/>
      </w:pPr>
      <w:r>
        <w:t>Droits d’entrée : ne pas laisser vide ; indiquer “sans objet” si le point ne concerne pas le dossier.</w:t>
      </w:r>
    </w:p>
    <w:p>
      <w:pPr>
        <w:pStyle w:val="ListBullet"/>
      </w:pPr>
      <w:r>
        <w:t>Redevances : ne pas laisser vide ; indiquer “sans objet” si le point ne concerne pas le dossier.</w:t>
      </w:r>
    </w:p>
    <w:p>
      <w:pPr>
        <w:pStyle w:val="ListBullet"/>
      </w:pPr>
      <w:r>
        <w:t>Assistance : ne pas laisser vide ; indiquer “sans objet” si le point ne concerne pas le dossier.</w:t>
      </w:r>
    </w:p>
    <w:p>
      <w:pPr>
        <w:pStyle w:val="ListBullet"/>
      </w:pPr>
      <w:r>
        <w:t>Formation : ne pas laisser vide ; indiquer “sans objet” si le point ne concerne pas le dossier.</w:t>
      </w:r>
    </w:p>
    <w:p>
      <w:pPr>
        <w:pStyle w:val="ListBullet"/>
      </w:pPr>
      <w:r>
        <w:t>Exclusivité : ne pas laisser vide ; indiquer “sans objet” si le point ne concerne pas le dossier.</w:t>
      </w:r>
    </w:p>
    <w:p>
      <w:pPr>
        <w:pStyle w:val="ListBullet"/>
      </w:pPr>
      <w:r>
        <w:t>Fin du contrat : ne pas laisser vide ; indiquer “sans objet” si le point ne concerne pas le dossier.</w:t>
      </w:r>
    </w:p>
    <w:p>
      <w:r>
        <w:rPr>
          <w:b w:val="0"/>
          <w:i/>
        </w:rPr>
        <w:t>La version complète ajoute une logique de preuve : chaque obligation importante doit pouvoir être reliée à une date, un montant, une pièce, un échange ou une annexe signée.</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Préambule et contexte</w:t>
      </w:r>
    </w:p>
    <w:p>
      <w:r>
        <w:rPr>
          <w:b w:val="0"/>
          <w:i w:val="0"/>
        </w:rPr>
        <w:t>Les parties souhaitent utiliser le présent modèle de Contrat de franchise afin d’encadrer leur relation par écrit.</w:t>
      </w:r>
    </w:p>
    <w:p>
      <w:r>
        <w:rPr>
          <w:b w:val="0"/>
          <w:i w:val="0"/>
        </w:rPr>
        <w:t>Le préambule doit rappeler le contexte réel : échanges préalables, devis, annonce, offre, état du bien, besoins exprimés ou documents transmis.</w:t>
      </w:r>
    </w:p>
    <w:p>
      <w:pPr>
        <w:pStyle w:val="ListBullet"/>
      </w:pPr>
      <w:r>
        <w:t>En cas de contradiction, les parties doivent indiquer quels documents prévalent : contrat signé, annexes, devis, conditions particulières, échanges validés.</w:t>
      </w:r>
    </w:p>
    <w:p>
      <w:pPr>
        <w:pStyle w:val="Heading2"/>
      </w:pPr>
      <w:r>
        <w:rPr>
          <w:b w:val="0"/>
          <w:i w:val="0"/>
        </w:rPr>
        <w:t>Article 3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4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5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6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7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8 — Confidentialité, données et droits</w:t>
      </w:r>
    </w:p>
    <w:p>
      <w:r>
        <w:rPr>
          <w:b w:val="0"/>
          <w:i w:val="0"/>
        </w:rPr>
        <w:t>Les informations non publiques échangées dans le cadre du document doivent rester confidentielles, sauf accord écrit ou obligation légale.</w:t>
      </w:r>
    </w:p>
    <w:p>
      <w:r>
        <w:rPr>
          <w:b w:val="0"/>
          <w:i w:val="0"/>
        </w:rPr>
        <w:t>Si des données personnelles, créations, fichiers, marques, photos, codes, supports ou documents professionnels sont concernés, préciser les droits accordés, leur durée, leur territoire, les limites et les restitutions.</w:t>
      </w:r>
    </w:p>
    <w:p>
      <w:pPr>
        <w:pStyle w:val="Heading2"/>
      </w:pPr>
      <w:r>
        <w:rPr>
          <w:b w:val="0"/>
          <w:i w:val="0"/>
        </w:rPr>
        <w:t>Article 9 — Responsabilité, assurance et limites</w:t>
      </w:r>
    </w:p>
    <w:p>
      <w:r>
        <w:rPr>
          <w:b w:val="0"/>
          <w:i w:val="0"/>
        </w:rPr>
        <w:t>Chaque partie répond des engagements qu’elle accepte expressément. Les limitations de responsabilité doivent être cohérentes avec le type de contrat et ne pas contredire les obligations essentielles.</w:t>
      </w:r>
    </w:p>
    <w:p>
      <w:r>
        <w:rPr>
          <w:b w:val="0"/>
          <w:i w:val="0"/>
        </w:rPr>
        <w:t>Indiquer les assurances utiles, garanties remises, exclusions connues, cas de force majeure et procédures de signalement.</w:t>
      </w:r>
    </w:p>
    <w:p>
      <w:pPr>
        <w:pStyle w:val="Heading2"/>
      </w:pPr>
      <w:r>
        <w:rPr>
          <w:b w:val="0"/>
          <w:i w:val="0"/>
        </w:rPr>
        <w:t>Article 10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11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12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contrat de franchise gratuit — pro</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