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formation professionnelle gratuit</w:t>
      </w:r>
    </w:p>
    <w:p>
      <w:r>
        <w:rPr>
          <w:b/>
          <w:i w:val="0"/>
          <w:color w:val="0B2D57"/>
        </w:rPr>
        <w:t>Version complète — France — clauses renforcées et annexes à adapter</w:t>
      </w:r>
    </w:p>
    <w:p>
      <w:r>
        <w:rPr>
          <w:b w:val="0"/>
          <w:i/>
        </w:rPr>
        <w:t>Encadrer une action de formation entre un organisme et un client professionnel.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formation professionnelle</w:t>
            </w:r>
          </w:p>
        </w:tc>
      </w:tr>
      <w:tr>
        <w:tc>
          <w:tcPr>
            <w:tcW w:type="dxa" w:w="5112"/>
            <w:vAlign w:val="center"/>
            <w:shd w:fill="EEF4FF"/>
          </w:tcPr>
          <w:p>
            <w:r>
              <w:t>Utilisation prévue</w:t>
            </w:r>
          </w:p>
        </w:tc>
        <w:tc>
          <w:tcPr>
            <w:tcW w:type="dxa" w:w="5112"/>
            <w:vAlign w:val="center"/>
          </w:tcPr>
          <w:p>
            <w:r>
              <w:t>À utiliser pour préciser programme, durée, prix, modalités pédagogiques, annulation et documents remis.</w:t>
            </w:r>
          </w:p>
        </w:tc>
      </w:tr>
      <w:tr>
        <w:tc>
          <w:tcPr>
            <w:tcW w:type="dxa" w:w="5112"/>
            <w:vAlign w:val="center"/>
            <w:shd w:fill="EEF4FF"/>
          </w:tcPr>
          <w:p>
            <w:r>
              <w:t>À éviter</w:t>
            </w:r>
          </w:p>
        </w:tc>
        <w:tc>
          <w:tcPr>
            <w:tcW w:type="dxa" w:w="5112"/>
            <w:vAlign w:val="center"/>
          </w:tcPr>
          <w:p>
            <w:r>
              <w:t>À éviter sans vérifier les règles spécifiques de la formation professionnelle et le statut de l’organisme.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formation professionnelle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Paiement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Données personnelles : préciser le contenu exact, les limites, les preuves et les conséquences pratiques.</w:t>
      </w:r>
    </w:p>
    <w:p>
      <w:pPr>
        <w:pStyle w:val="ListBullet"/>
      </w:pPr>
      <w:r>
        <w:t>Organisme : ne pas laisser vide ; indiquer “sans objet” si le point ne concerne pas le dossier.</w:t>
      </w:r>
    </w:p>
    <w:p>
      <w:pPr>
        <w:pStyle w:val="ListBullet"/>
      </w:pPr>
      <w:r>
        <w:t>Client : ne pas laisser vide ; indiquer “sans objet” si le point ne concerne pas le dossier.</w:t>
      </w:r>
    </w:p>
    <w:p>
      <w:pPr>
        <w:pStyle w:val="ListBullet"/>
      </w:pPr>
      <w:r>
        <w:t>Programme : ne pas laisser vide ; indiquer “sans objet” si le point ne concerne pas le dossier.</w:t>
      </w:r>
    </w:p>
    <w:p>
      <w:pPr>
        <w:pStyle w:val="ListBullet"/>
      </w:pPr>
      <w:r>
        <w:t>Dates : ne pas laisser vide ; indiquer “sans objet” si le point ne concerne pas le dossier.</w:t>
      </w:r>
    </w:p>
    <w:p>
      <w:pPr>
        <w:pStyle w:val="ListBullet"/>
      </w:pPr>
      <w:r>
        <w:t>Durée : ne pas laisser vide ; indiquer “sans objet” si le point ne concerne pas le dossier.</w:t>
      </w:r>
    </w:p>
    <w:p>
      <w:pPr>
        <w:pStyle w:val="ListBullet"/>
      </w:pPr>
      <w:r>
        <w:t>Prix : ne pas laisser vide ; indiquer “sans objet” si le point ne concerne pas le dossier.</w:t>
      </w:r>
    </w:p>
    <w:p>
      <w:pPr>
        <w:pStyle w:val="ListBullet"/>
      </w:pPr>
      <w:r>
        <w:t>Modalités pédagogiques : ne pas laisser vide ; indiquer “sans objet” si le point ne concerne pas le dossier.</w:t>
      </w:r>
    </w:p>
    <w:p>
      <w:pPr>
        <w:pStyle w:val="ListBullet"/>
      </w:pPr>
      <w:r>
        <w:t>Annulation : ne pas laisser vide ; indiquer “sans objet” si le point ne concerne pas le dossier.</w:t>
      </w:r>
    </w:p>
    <w:p>
      <w:pPr>
        <w:pStyle w:val="ListBullet"/>
      </w:pPr>
      <w:r>
        <w:t>Attestations : ne pas laisser vide ; indiquer “sans objet” si le point ne concerne pas le dossier.</w:t>
      </w:r>
    </w:p>
    <w:p>
      <w:pPr>
        <w:pStyle w:val="ListBullet"/>
      </w:pPr>
      <w:r>
        <w:t>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formation professionnelle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formation professionnelle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