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community manager gratuit</w:t>
      </w:r>
    </w:p>
    <w:p>
      <w:r>
        <w:rPr>
          <w:b/>
          <w:i w:val="0"/>
          <w:color w:val="0B2D57"/>
        </w:rPr>
        <w:t>Version complète — France — clauses renforcées et annexes à adapter</w:t>
      </w:r>
    </w:p>
    <w:p>
      <w:r>
        <w:rPr>
          <w:b w:val="0"/>
          <w:i/>
        </w:rPr>
        <w:t>Encadrer la gestion de réseaux sociaux, contenus, planning et reporting.</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community manager</w:t>
            </w:r>
          </w:p>
        </w:tc>
      </w:tr>
      <w:tr>
        <w:tc>
          <w:tcPr>
            <w:tcW w:type="dxa" w:w="5112"/>
            <w:vAlign w:val="center"/>
            <w:shd w:fill="EEF4FF"/>
          </w:tcPr>
          <w:p>
            <w:r>
              <w:t>Utilisation prévue</w:t>
            </w:r>
          </w:p>
        </w:tc>
        <w:tc>
          <w:tcPr>
            <w:tcW w:type="dxa" w:w="5112"/>
            <w:vAlign w:val="center"/>
          </w:tcPr>
          <w:p>
            <w:r>
              <w:t>À utiliser pour fixer plateformes, livrables, validation, accès aux comptes, droits sur contenus et confidentialité.</w:t>
            </w:r>
          </w:p>
        </w:tc>
      </w:tr>
      <w:tr>
        <w:tc>
          <w:tcPr>
            <w:tcW w:type="dxa" w:w="5112"/>
            <w:vAlign w:val="center"/>
            <w:shd w:fill="EEF4FF"/>
          </w:tcPr>
          <w:p>
            <w:r>
              <w:t>À éviter</w:t>
            </w:r>
          </w:p>
        </w:tc>
        <w:tc>
          <w:tcPr>
            <w:tcW w:type="dxa" w:w="5112"/>
            <w:vAlign w:val="center"/>
          </w:tcPr>
          <w:p>
            <w:r>
              <w:t>À éviter si la mission inclut publicité payante, influence ou collecte de données sans clauses adaptées.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community manager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Propriété intellectuelle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Données personnelles : préciser le contenu exact, les limites, les preuves et les conséquences pratiques.</w:t>
      </w:r>
    </w:p>
    <w:p>
      <w:pPr>
        <w:pStyle w:val="ListBullet"/>
      </w:pPr>
      <w:r>
        <w:t>Parties : ne pas laisser vide ; indiquer “sans objet” si le point ne concerne pas le dossier.</w:t>
      </w:r>
    </w:p>
    <w:p>
      <w:pPr>
        <w:pStyle w:val="ListBullet"/>
      </w:pPr>
      <w:r>
        <w:t>Plateformes : ne pas laisser vide ; indiquer “sans objet” si le point ne concerne pas le dossier.</w:t>
      </w:r>
    </w:p>
    <w:p>
      <w:pPr>
        <w:pStyle w:val="ListBullet"/>
      </w:pPr>
      <w:r>
        <w:t>Livrables : ne pas laisser vide ; indiquer “sans objet” si le point ne concerne pas le dossier.</w:t>
      </w:r>
    </w:p>
    <w:p>
      <w:pPr>
        <w:pStyle w:val="ListBullet"/>
      </w:pPr>
      <w:r>
        <w:t>Calendrier éditorial : ne pas laisser vide ; indiquer “sans objet” si le point ne concerne pas le dossier.</w:t>
      </w:r>
    </w:p>
    <w:p>
      <w:pPr>
        <w:pStyle w:val="ListBullet"/>
      </w:pPr>
      <w:r>
        <w:t>Validation : ne pas laisser vide ; indiquer “sans objet” si le point ne concerne pas le dossier.</w:t>
      </w:r>
    </w:p>
    <w:p>
      <w:pPr>
        <w:pStyle w:val="ListBullet"/>
      </w:pPr>
      <w:r>
        <w:t>Accès comptes : ne pas laisser vide ; indiquer “sans objet” si le point ne concerne pas le dossier.</w:t>
      </w:r>
    </w:p>
    <w:p>
      <w:pPr>
        <w:pStyle w:val="ListBullet"/>
      </w:pPr>
      <w:r>
        <w:t>Prix : ne pas laisser vide ; indiquer “sans objet” si le point ne concerne pas le dossier.</w:t>
      </w:r>
    </w:p>
    <w:p>
      <w:pPr>
        <w:pStyle w:val="ListBullet"/>
      </w:pPr>
      <w:r>
        <w:t>Droits sur contenus : ne pas laisser vide ; indiquer “sans objet” si le point ne concerne pas le dossier.</w:t>
      </w:r>
    </w:p>
    <w:p>
      <w:pPr>
        <w:pStyle w:val="ListBullet"/>
      </w:pPr>
      <w:r>
        <w:t>Confidentialité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community manager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community manager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