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confidentialité entreprise gratuit</w:t>
      </w:r>
    </w:p>
    <w:p>
      <w:r>
        <w:rPr>
          <w:b/>
          <w:i w:val="0"/>
          <w:color w:val="0B2D57"/>
        </w:rPr>
        <w:t>Version complète — France — clauses renforcées et annexes à adapter</w:t>
      </w:r>
    </w:p>
    <w:p>
      <w:r>
        <w:rPr>
          <w:b w:val="0"/>
          <w:i/>
        </w:rPr>
        <w:t>Utiliser pour protéger des échanges sensibles hors contrat principal.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confidentialité entreprise</w:t>
            </w:r>
          </w:p>
        </w:tc>
      </w:tr>
      <w:tr>
        <w:tc>
          <w:tcPr>
            <w:tcW w:type="dxa" w:w="5112"/>
            <w:vAlign w:val="center"/>
            <w:shd w:fill="EEF4FF"/>
          </w:tcPr>
          <w:p>
            <w:r>
              <w:t>Utilisation prévue</w:t>
            </w:r>
          </w:p>
        </w:tc>
        <w:tc>
          <w:tcPr>
            <w:tcW w:type="dxa" w:w="5112"/>
            <w:vAlign w:val="center"/>
          </w:tcPr>
          <w:p>
            <w:r>
              <w:t>Utiliser pour protéger des échanges sensibles hors contrat principal.</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confidentialité entreprise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confidentialité entreprise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confidentialité entreprise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